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F945A" w14:textId="38982DBC" w:rsidR="00831EB8" w:rsidRDefault="00831EB8">
      <w:pPr>
        <w:jc w:val="center"/>
        <w:rPr>
          <w:rFonts w:ascii="Times New Roman" w:hAnsi="Times New Roman" w:cs="Times New Roman"/>
          <w:b/>
          <w:bCs/>
          <w:sz w:val="24"/>
          <w:szCs w:val="24"/>
        </w:rPr>
      </w:pPr>
      <w:r w:rsidRPr="007F09FF">
        <w:rPr>
          <w:rFonts w:ascii="Times New Roman" w:eastAsia="Times New Roman" w:hAnsi="Times New Roman" w:cs="Times New Roman"/>
          <w:noProof/>
          <w:szCs w:val="28"/>
        </w:rPr>
        <w:drawing>
          <wp:anchor distT="0" distB="0" distL="114300" distR="114300" simplePos="0" relativeHeight="251661312" behindDoc="0" locked="0" layoutInCell="1" allowOverlap="1" wp14:anchorId="411F5672" wp14:editId="52D35BAB">
            <wp:simplePos x="0" y="0"/>
            <wp:positionH relativeFrom="column">
              <wp:posOffset>3665220</wp:posOffset>
            </wp:positionH>
            <wp:positionV relativeFrom="page">
              <wp:posOffset>922020</wp:posOffset>
            </wp:positionV>
            <wp:extent cx="875665" cy="337490"/>
            <wp:effectExtent l="0" t="0" r="635" b="5715"/>
            <wp:wrapNone/>
            <wp:docPr id="6" name="Рисунок 6" descr="D:\Work Medkinetica\Jurnal\by-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 Medkinetica\Jurnal\by-nc.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5665" cy="3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09FF">
        <w:rPr>
          <w:rFonts w:ascii="Times New Roman" w:eastAsia="Times New Roman" w:hAnsi="Times New Roman" w:cs="Times New Roman"/>
          <w:noProof/>
          <w:szCs w:val="28"/>
        </w:rPr>
        <w:drawing>
          <wp:anchor distT="0" distB="0" distL="114300" distR="114300" simplePos="0" relativeHeight="251659264" behindDoc="0" locked="0" layoutInCell="1" allowOverlap="1" wp14:anchorId="35AE3314" wp14:editId="4D1146C8">
            <wp:simplePos x="0" y="0"/>
            <wp:positionH relativeFrom="margin">
              <wp:posOffset>1394460</wp:posOffset>
            </wp:positionH>
            <wp:positionV relativeFrom="margin">
              <wp:posOffset>-76200</wp:posOffset>
            </wp:positionV>
            <wp:extent cx="1005840" cy="403003"/>
            <wp:effectExtent l="0" t="0" r="3810" b="0"/>
            <wp:wrapNone/>
            <wp:docPr id="5" name="Рисунок 5" descr="D:\Work Medkinetica\Jurnal\open ac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ork Medkinetica\Jurnal\open acce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5840" cy="40300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43A58E" w14:textId="77777777" w:rsidR="00831EB8" w:rsidRDefault="00831EB8">
      <w:pPr>
        <w:jc w:val="center"/>
        <w:rPr>
          <w:rFonts w:ascii="Times New Roman" w:hAnsi="Times New Roman" w:cs="Times New Roman"/>
          <w:b/>
          <w:bCs/>
          <w:sz w:val="24"/>
          <w:szCs w:val="24"/>
        </w:rPr>
      </w:pPr>
    </w:p>
    <w:p w14:paraId="4CDCEAFA" w14:textId="7A89BCBA" w:rsidR="00363191" w:rsidRDefault="00A958BA">
      <w:pPr>
        <w:jc w:val="center"/>
        <w:rPr>
          <w:rFonts w:ascii="Times New Roman" w:hAnsi="Times New Roman" w:cs="Times New Roman"/>
          <w:b/>
          <w:bCs/>
          <w:sz w:val="24"/>
          <w:szCs w:val="24"/>
        </w:rPr>
      </w:pPr>
      <w:r w:rsidRPr="00831EB8">
        <w:rPr>
          <w:rFonts w:ascii="Times New Roman" w:hAnsi="Times New Roman" w:cs="Times New Roman"/>
          <w:b/>
          <w:bCs/>
          <w:sz w:val="24"/>
          <w:szCs w:val="24"/>
        </w:rPr>
        <w:t>Sonographic evolution in screening for developmental dysplasia of the hip in newborns</w:t>
      </w:r>
    </w:p>
    <w:p w14:paraId="00CAA2FC" w14:textId="1ACC4287" w:rsidR="00831EB8" w:rsidRPr="00831EB8" w:rsidRDefault="00831EB8">
      <w:pPr>
        <w:jc w:val="center"/>
        <w:rPr>
          <w:rFonts w:ascii="Times New Roman" w:hAnsi="Times New Roman" w:cs="Times New Roman"/>
          <w:b/>
          <w:bCs/>
          <w:sz w:val="24"/>
          <w:szCs w:val="24"/>
        </w:rPr>
      </w:pPr>
      <w:r>
        <w:rPr>
          <w:rFonts w:ascii="Times New Roman" w:hAnsi="Times New Roman" w:cs="Times New Roman"/>
          <w:b/>
          <w:bCs/>
          <w:sz w:val="24"/>
          <w:szCs w:val="24"/>
        </w:rPr>
        <w:t>DOI:</w:t>
      </w:r>
      <w:r w:rsidR="00594B01">
        <w:rPr>
          <w:rFonts w:ascii="Times New Roman" w:hAnsi="Times New Roman" w:cs="Times New Roman"/>
          <w:b/>
          <w:bCs/>
          <w:sz w:val="24"/>
          <w:szCs w:val="24"/>
        </w:rPr>
        <w:t xml:space="preserve"> </w:t>
      </w:r>
      <w:r w:rsidR="00594B01">
        <w:rPr>
          <w:rFonts w:ascii="Helvetica" w:hAnsi="Helvetica"/>
          <w:b/>
          <w:bCs/>
          <w:sz w:val="20"/>
          <w:szCs w:val="20"/>
          <w:shd w:val="clear" w:color="auto" w:fill="FFFFFF"/>
        </w:rPr>
        <w:t>10.5281/zenodo.13837449</w:t>
      </w:r>
    </w:p>
    <w:p w14:paraId="522F57D4" w14:textId="324B0448" w:rsidR="00363191" w:rsidRPr="00831EB8" w:rsidRDefault="00831EB8" w:rsidP="00831EB8">
      <w:pPr>
        <w:spacing w:after="0"/>
        <w:rPr>
          <w:rFonts w:ascii="Times New Roman" w:hAnsi="Times New Roman"/>
          <w:sz w:val="28"/>
          <w:szCs w:val="28"/>
        </w:rPr>
      </w:pPr>
      <w:r w:rsidRPr="00F97894">
        <w:rPr>
          <w:rStyle w:val="orcid-id-https"/>
          <w:rFonts w:ascii="Arial" w:hAnsi="Arial" w:cs="Arial"/>
          <w:noProof/>
          <w:color w:val="494A4C"/>
          <w:sz w:val="14"/>
          <w:szCs w:val="14"/>
          <w:shd w:val="clear" w:color="auto" w:fill="FFFFFF"/>
        </w:rPr>
        <w:drawing>
          <wp:anchor distT="0" distB="0" distL="114300" distR="114300" simplePos="0" relativeHeight="251660800" behindDoc="0" locked="0" layoutInCell="1" allowOverlap="1" wp14:anchorId="12193DEB" wp14:editId="2EC10C8B">
            <wp:simplePos x="0" y="0"/>
            <wp:positionH relativeFrom="margin">
              <wp:posOffset>4716780</wp:posOffset>
            </wp:positionH>
            <wp:positionV relativeFrom="paragraph">
              <wp:posOffset>88265</wp:posOffset>
            </wp:positionV>
            <wp:extent cx="502920" cy="502920"/>
            <wp:effectExtent l="0" t="0" r="0" b="0"/>
            <wp:wrapNone/>
            <wp:docPr id="7" name="Рисунок 7" descr="D:\Work Medkinetica\Jurnal\Jurnal 2021\Orcid logo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 Medkinetica\Jurnal\Jurnal 2021\Orcid logo pn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20" cy="502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1612" w:rsidRPr="00F97894">
        <w:rPr>
          <w:rFonts w:ascii="Times New Roman" w:hAnsi="Times New Roman" w:cs="Times New Roman"/>
        </w:rPr>
        <w:t>SILVIA STATI</w:t>
      </w:r>
      <w:r w:rsidRPr="00F97894">
        <w:rPr>
          <w:rFonts w:ascii="Times New Roman" w:hAnsi="Times New Roman"/>
          <w:sz w:val="28"/>
          <w:szCs w:val="28"/>
          <w:vertAlign w:val="superscript"/>
        </w:rPr>
        <w:t>1</w:t>
      </w:r>
      <w:r w:rsidR="003A1612" w:rsidRPr="00831EB8">
        <w:rPr>
          <w:rFonts w:ascii="Times New Roman" w:hAnsi="Times New Roman"/>
          <w:sz w:val="28"/>
          <w:szCs w:val="28"/>
        </w:rPr>
        <w:t xml:space="preserve"> </w:t>
      </w:r>
      <w:r>
        <w:rPr>
          <w:rFonts w:ascii="Times New Roman" w:hAnsi="Times New Roman"/>
          <w:sz w:val="28"/>
          <w:szCs w:val="28"/>
        </w:rPr>
        <w:t xml:space="preserve">          </w:t>
      </w:r>
      <w:r w:rsidR="009B2225">
        <w:rPr>
          <w:rFonts w:ascii="Times New Roman" w:hAnsi="Times New Roman"/>
          <w:sz w:val="28"/>
          <w:szCs w:val="28"/>
        </w:rPr>
        <w:t xml:space="preserve">          </w:t>
      </w:r>
      <w:r w:rsidRPr="009B2225">
        <w:rPr>
          <w:rFonts w:ascii="Times New Roman" w:hAnsi="Times New Roman"/>
          <w:sz w:val="20"/>
          <w:szCs w:val="20"/>
        </w:rPr>
        <w:t>ORCID ID:</w:t>
      </w:r>
      <w:r w:rsidR="009B2225" w:rsidRPr="009B2225">
        <w:rPr>
          <w:rFonts w:ascii="Times New Roman" w:hAnsi="Times New Roman"/>
          <w:sz w:val="20"/>
          <w:szCs w:val="20"/>
        </w:rPr>
        <w:t xml:space="preserve"> 0009-0004-8002-2038</w:t>
      </w:r>
    </w:p>
    <w:p w14:paraId="7D494624" w14:textId="111A379D" w:rsidR="00363191" w:rsidRDefault="00831EB8" w:rsidP="00831EB8">
      <w:pPr>
        <w:spacing w:after="0"/>
        <w:rPr>
          <w:rFonts w:ascii="Times New Roman" w:hAnsi="Times New Roman"/>
          <w:i/>
          <w:iCs/>
        </w:rPr>
      </w:pPr>
      <w:r w:rsidRPr="00831EB8">
        <w:rPr>
          <w:rFonts w:ascii="Times New Roman" w:hAnsi="Times New Roman"/>
          <w:i/>
          <w:iCs/>
          <w:vertAlign w:val="superscript"/>
        </w:rPr>
        <w:t>1</w:t>
      </w:r>
      <w:r w:rsidR="003A1612" w:rsidRPr="00831EB8">
        <w:rPr>
          <w:rFonts w:ascii="Times New Roman" w:hAnsi="Times New Roman"/>
          <w:i/>
          <w:iCs/>
        </w:rPr>
        <w:t>Medpark International Hospital</w:t>
      </w:r>
      <w:r>
        <w:rPr>
          <w:rFonts w:ascii="Times New Roman" w:hAnsi="Times New Roman"/>
          <w:i/>
          <w:iCs/>
        </w:rPr>
        <w:t>, Chisinau, Republic of Moldova</w:t>
      </w:r>
    </w:p>
    <w:p w14:paraId="35D4483E" w14:textId="77777777" w:rsidR="00A958BA" w:rsidRDefault="00A958BA" w:rsidP="00831EB8">
      <w:pPr>
        <w:spacing w:after="0"/>
        <w:rPr>
          <w:rFonts w:ascii="Times New Roman" w:hAnsi="Times New Roman"/>
          <w:i/>
          <w:iCs/>
        </w:rPr>
      </w:pPr>
    </w:p>
    <w:p w14:paraId="6D0E4182" w14:textId="468C821F" w:rsidR="00831EB8" w:rsidRDefault="00831EB8" w:rsidP="00831EB8">
      <w:pPr>
        <w:spacing w:after="0"/>
        <w:rPr>
          <w:rFonts w:ascii="Times New Roman" w:hAnsi="Times New Roman"/>
        </w:rPr>
      </w:pPr>
      <w:r>
        <w:rPr>
          <w:rFonts w:ascii="Times New Roman" w:hAnsi="Times New Roman"/>
        </w:rPr>
        <w:t>E-mail:</w:t>
      </w:r>
      <w:r w:rsidR="00594B01">
        <w:rPr>
          <w:rFonts w:ascii="Times New Roman" w:hAnsi="Times New Roman"/>
        </w:rPr>
        <w:t xml:space="preserve"> </w:t>
      </w:r>
      <w:proofErr w:type="spellStart"/>
      <w:proofErr w:type="gramStart"/>
      <w:r w:rsidR="00594B01">
        <w:rPr>
          <w:rFonts w:ascii="Times New Roman" w:hAnsi="Times New Roman"/>
        </w:rPr>
        <w:t>silvia,stati@medpark.md</w:t>
      </w:r>
      <w:proofErr w:type="spellEnd"/>
      <w:proofErr w:type="gramEnd"/>
    </w:p>
    <w:p w14:paraId="7DDD6893" w14:textId="7C29F650" w:rsidR="00831EB8" w:rsidRDefault="00831EB8" w:rsidP="00831EB8">
      <w:pPr>
        <w:spacing w:after="0"/>
        <w:rPr>
          <w:rFonts w:ascii="Times New Roman" w:hAnsi="Times New Roman"/>
        </w:rPr>
      </w:pPr>
      <w:r w:rsidRPr="00F97894">
        <w:rPr>
          <w:rFonts w:ascii="Times New Roman" w:hAnsi="Times New Roman"/>
          <w:b/>
          <w:bCs/>
        </w:rPr>
        <w:t>Key words</w:t>
      </w:r>
      <w:r>
        <w:rPr>
          <w:rFonts w:ascii="Times New Roman" w:hAnsi="Times New Roman"/>
        </w:rPr>
        <w:t xml:space="preserve">: </w:t>
      </w:r>
      <w:r w:rsidR="00F97894" w:rsidRPr="00F97894">
        <w:rPr>
          <w:rFonts w:ascii="Times New Roman" w:hAnsi="Times New Roman"/>
        </w:rPr>
        <w:t>Dysplasia of the hip, Ultrasound, Newborn, Screening, DDH</w:t>
      </w:r>
    </w:p>
    <w:p w14:paraId="5B09296B" w14:textId="77777777" w:rsidR="00831EB8" w:rsidRPr="00831EB8" w:rsidRDefault="00831EB8" w:rsidP="00831EB8">
      <w:pPr>
        <w:spacing w:after="0"/>
        <w:rPr>
          <w:rFonts w:ascii="Times New Roman" w:hAnsi="Times New Roman"/>
        </w:rPr>
      </w:pPr>
    </w:p>
    <w:p w14:paraId="7F14C304" w14:textId="77777777" w:rsidR="00363191" w:rsidRPr="00831EB8" w:rsidRDefault="003A1612" w:rsidP="00F97894">
      <w:pPr>
        <w:spacing w:after="0"/>
        <w:rPr>
          <w:rFonts w:ascii="Times New Roman" w:hAnsi="Times New Roman" w:cs="Times New Roman"/>
          <w:b/>
          <w:bCs/>
        </w:rPr>
      </w:pPr>
      <w:r w:rsidRPr="00831EB8">
        <w:rPr>
          <w:rFonts w:ascii="Times New Roman" w:hAnsi="Times New Roman" w:cs="Times New Roman"/>
          <w:b/>
          <w:bCs/>
        </w:rPr>
        <w:t>Abstract</w:t>
      </w:r>
    </w:p>
    <w:p w14:paraId="5A8A7F0A" w14:textId="77777777" w:rsidR="00363191"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term developmental dysplasia of the hip (DDH) refers to an abnormal relation between the femoral head and the acetabulum. At birth the femoral head and the acetabulum are mainly cartilaginous, and a normal adult hip joint depends on their correct development. During the newborn period unstable hips are common, but most of these develop normally.1 If subluxation or dislocation persists, anatomic changes develop, and eventually the correct positioning of the femoral head within the acetabulum (reduction) can be achieved only with surgery. Early detection of DDH can enable less invasive and potentially more effective corrective procedures.</w:t>
      </w:r>
    </w:p>
    <w:p w14:paraId="64DF3FB4" w14:textId="09867861" w:rsidR="00363191"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Some believe that DDH detected on ultrasonography should be treated very early or should be followed up intensively. The assumption of proponents of ultrasound screening is that untreated cases will have an adverse outcome,7 whereas others believe that the risk of overtreatment is considerable and that the cost-benefit equation for ultrasound screening is not </w:t>
      </w:r>
      <w:proofErr w:type="spellStart"/>
      <w:r>
        <w:rPr>
          <w:rFonts w:ascii="Times New Roman" w:hAnsi="Times New Roman" w:cs="Times New Roman"/>
          <w:sz w:val="24"/>
          <w:szCs w:val="24"/>
        </w:rPr>
        <w:t>favourable</w:t>
      </w:r>
      <w:proofErr w:type="spellEnd"/>
      <w:r>
        <w:rPr>
          <w:rFonts w:ascii="Times New Roman" w:hAnsi="Times New Roman" w:cs="Times New Roman"/>
          <w:sz w:val="24"/>
          <w:szCs w:val="24"/>
        </w:rPr>
        <w:t xml:space="preserve"> enough.10,12 Consequently, the screening of all newborn infants at birth for DDH using ultrasound imaging is standard practice in some European countries, such as Germany and Switzerland, but has not been accepted in the United Kingdom, the United States, or Scandinavia.13,14 Therefore, we conducted a systematic review to determine the diagnostic accuracy of ultrasonography for detecting DDH in a unselected population of newborns and to assess the impact of ultrasound screening of newborn infants.</w:t>
      </w:r>
    </w:p>
    <w:p w14:paraId="06C4CAAD" w14:textId="1FFBDD49" w:rsidR="00831EB8" w:rsidRPr="00F97894" w:rsidRDefault="00831EB8" w:rsidP="00F97894">
      <w:pPr>
        <w:spacing w:after="0"/>
        <w:ind w:firstLineChars="200" w:firstLine="482"/>
        <w:rPr>
          <w:rFonts w:ascii="Times New Roman" w:hAnsi="Times New Roman" w:cs="Times New Roman"/>
          <w:b/>
          <w:bCs/>
          <w:sz w:val="24"/>
          <w:szCs w:val="24"/>
        </w:rPr>
      </w:pPr>
      <w:r w:rsidRPr="00F97894">
        <w:rPr>
          <w:rFonts w:ascii="Times New Roman" w:hAnsi="Times New Roman" w:cs="Times New Roman"/>
          <w:b/>
          <w:bCs/>
          <w:sz w:val="24"/>
          <w:szCs w:val="24"/>
        </w:rPr>
        <w:t>Introduction</w:t>
      </w:r>
    </w:p>
    <w:p w14:paraId="67C4A5F0" w14:textId="77777777" w:rsidR="00363191"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Ultrasound is a rapid, noninvasive, and cost-effective tool for the assessment of the infant hip. With ultrasound, sonographer can directly evaluate the femoral head, composed of hyaline cartilage, and its relationship to the acetabulum. As with any sonographic study, the accuracy of the results will depend greatly on attention to normal and pathological anatomy. </w:t>
      </w:r>
    </w:p>
    <w:p w14:paraId="7E1EE936" w14:textId="77777777" w:rsidR="00363191" w:rsidRDefault="003A1612" w:rsidP="00F97894">
      <w:pPr>
        <w:spacing w:after="0" w:line="240" w:lineRule="auto"/>
        <w:ind w:firstLine="720"/>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Imaging methods are currently the main clinical auxiliary methods for infants and young children with congenital hip dysplasia, including X-ray, ultrasound, and others. However, X-rays are limited in infant disease screening due to insufficient resolution and </w:t>
      </w:r>
      <w:proofErr w:type="gramStart"/>
      <w:r>
        <w:rPr>
          <w:rFonts w:ascii="Times New Roman" w:hAnsi="Times New Roman" w:cs="Times New Roman"/>
          <w:color w:val="333333"/>
          <w:sz w:val="24"/>
          <w:szCs w:val="24"/>
          <w:shd w:val="clear" w:color="auto" w:fill="FFFFFF"/>
        </w:rPr>
        <w:t>radiation .</w:t>
      </w:r>
      <w:proofErr w:type="gramEnd"/>
      <w:r>
        <w:rPr>
          <w:rFonts w:ascii="Times New Roman" w:hAnsi="Times New Roman" w:cs="Times New Roman"/>
          <w:color w:val="333333"/>
          <w:sz w:val="24"/>
          <w:szCs w:val="24"/>
          <w:shd w:val="clear" w:color="auto" w:fill="FFFFFF"/>
        </w:rPr>
        <w:t xml:space="preserve"> </w:t>
      </w:r>
    </w:p>
    <w:p w14:paraId="55A1C144" w14:textId="77777777" w:rsidR="00F97894" w:rsidRPr="00F97894"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Ultrasonography has been widely used and popularized in the early screening of infant diseases due to its advantages including easy operation, repeatability, and no radiation </w:t>
      </w:r>
      <w:proofErr w:type="gramStart"/>
      <w:r>
        <w:rPr>
          <w:rFonts w:ascii="Times New Roman" w:hAnsi="Times New Roman" w:cs="Times New Roman"/>
          <w:color w:val="333333"/>
          <w:sz w:val="24"/>
          <w:szCs w:val="24"/>
          <w:shd w:val="clear" w:color="auto" w:fill="FFFFFF"/>
        </w:rPr>
        <w:t>damage .</w:t>
      </w:r>
      <w:proofErr w:type="gramEnd"/>
      <w:r>
        <w:rPr>
          <w:rFonts w:ascii="Times New Roman" w:hAnsi="Times New Roman" w:cs="Times New Roman"/>
          <w:color w:val="333333"/>
          <w:sz w:val="24"/>
          <w:szCs w:val="24"/>
          <w:shd w:val="clear" w:color="auto" w:fill="FFFFFF"/>
        </w:rPr>
        <w:t xml:space="preserve"> Based on this, this study analyzed the value of ultrasound Graf method witch </w:t>
      </w:r>
      <w:r>
        <w:rPr>
          <w:rFonts w:ascii="Times New Roman" w:hAnsi="Times New Roman" w:cs="Times New Roman"/>
          <w:color w:val="3D3D3D"/>
          <w:sz w:val="24"/>
          <w:szCs w:val="24"/>
          <w:shd w:val="clear" w:color="auto" w:fill="FFFFFF"/>
        </w:rPr>
        <w:t xml:space="preserve">describes </w:t>
      </w:r>
      <w:hyperlink r:id="rId10" w:history="1">
        <w:r>
          <w:rPr>
            <w:rStyle w:val="ae"/>
            <w:rFonts w:ascii="Times New Roman" w:hAnsi="Times New Roman" w:cs="Times New Roman"/>
            <w:color w:val="auto"/>
            <w:sz w:val="24"/>
            <w:szCs w:val="24"/>
            <w:u w:val="none"/>
            <w:shd w:val="clear" w:color="auto" w:fill="FFFFFF"/>
          </w:rPr>
          <w:t>alpha</w:t>
        </w:r>
      </w:hyperlink>
      <w:r>
        <w:rPr>
          <w:rFonts w:ascii="Times New Roman" w:hAnsi="Times New Roman" w:cs="Times New Roman"/>
          <w:sz w:val="24"/>
          <w:szCs w:val="24"/>
          <w:shd w:val="clear" w:color="auto" w:fill="FFFFFF"/>
        </w:rPr>
        <w:t> and </w:t>
      </w:r>
      <w:hyperlink r:id="rId11" w:history="1">
        <w:r>
          <w:rPr>
            <w:rStyle w:val="ae"/>
            <w:rFonts w:ascii="Times New Roman" w:hAnsi="Times New Roman" w:cs="Times New Roman"/>
            <w:color w:val="auto"/>
            <w:sz w:val="24"/>
            <w:szCs w:val="24"/>
            <w:u w:val="none"/>
            <w:shd w:val="clear" w:color="auto" w:fill="FFFFFF"/>
          </w:rPr>
          <w:t>beta</w:t>
        </w:r>
      </w:hyperlink>
      <w:r>
        <w:rPr>
          <w:rFonts w:ascii="Times New Roman" w:hAnsi="Times New Roman" w:cs="Times New Roman"/>
          <w:color w:val="3D3D3D"/>
          <w:sz w:val="24"/>
          <w:szCs w:val="24"/>
          <w:shd w:val="clear" w:color="auto" w:fill="FFFFFF"/>
        </w:rPr>
        <w:t xml:space="preserve"> angles, </w:t>
      </w:r>
      <w:r>
        <w:rPr>
          <w:rFonts w:ascii="Times New Roman" w:hAnsi="Times New Roman" w:cs="Times New Roman"/>
          <w:color w:val="333333"/>
          <w:sz w:val="24"/>
          <w:szCs w:val="24"/>
          <w:shd w:val="clear" w:color="auto" w:fill="FFFFFF"/>
        </w:rPr>
        <w:t xml:space="preserve">in the screening and follow-up of treatment effects in infants and young </w:t>
      </w:r>
      <w:r w:rsidRPr="00F97894">
        <w:rPr>
          <w:rFonts w:ascii="Times New Roman" w:hAnsi="Times New Roman" w:cs="Times New Roman"/>
          <w:sz w:val="24"/>
          <w:szCs w:val="24"/>
        </w:rPr>
        <w:lastRenderedPageBreak/>
        <w:t>children with congenital hip dysplasia, so as to provide a reliable basis for clinical diagnosis and treatment.</w:t>
      </w:r>
    </w:p>
    <w:p w14:paraId="510C37A8" w14:textId="031E00D2" w:rsidR="00363191" w:rsidRPr="00F97894" w:rsidRDefault="00F97894" w:rsidP="00F97894">
      <w:pPr>
        <w:spacing w:after="0" w:line="240" w:lineRule="auto"/>
        <w:ind w:firstLine="720"/>
        <w:jc w:val="both"/>
        <w:rPr>
          <w:rFonts w:ascii="Times New Roman" w:hAnsi="Times New Roman" w:cs="Times New Roman"/>
          <w:b/>
          <w:bCs/>
          <w:sz w:val="24"/>
          <w:szCs w:val="24"/>
        </w:rPr>
      </w:pPr>
      <w:r w:rsidRPr="00F97894">
        <w:rPr>
          <w:rFonts w:ascii="Times New Roman" w:hAnsi="Times New Roman" w:cs="Times New Roman"/>
          <w:b/>
          <w:bCs/>
          <w:sz w:val="24"/>
          <w:szCs w:val="24"/>
        </w:rPr>
        <w:t>Purpose</w:t>
      </w:r>
    </w:p>
    <w:p w14:paraId="5CC0064A" w14:textId="77777777" w:rsidR="00363191"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Developmental dysplasia of the hip (DDH) is the most frequent inborn deformity of the locomotor apparatus. With ultrasound, sonographer can directly evaluate the femoral head, composed of hyaline cartilage, and its relationship to the acetabulum. </w:t>
      </w:r>
    </w:p>
    <w:p w14:paraId="3EB7CF88" w14:textId="77777777" w:rsidR="00F97894"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Ultrasound screening is frequently used to identify DDH in view of the brevity of the preclinical period during which diagnosis is possible. Appropriate therapeutic intervention during this period can positively affects the evolution of the disorder. </w:t>
      </w:r>
    </w:p>
    <w:p w14:paraId="50A0DFEF" w14:textId="4A50FE90" w:rsidR="00363191" w:rsidRPr="00F97894" w:rsidRDefault="00F97894" w:rsidP="00F97894">
      <w:pPr>
        <w:spacing w:after="0" w:line="240" w:lineRule="auto"/>
        <w:ind w:firstLine="720"/>
        <w:jc w:val="both"/>
        <w:rPr>
          <w:rFonts w:ascii="Times New Roman" w:hAnsi="Times New Roman" w:cs="Times New Roman"/>
          <w:b/>
          <w:bCs/>
          <w:sz w:val="24"/>
          <w:szCs w:val="24"/>
        </w:rPr>
      </w:pPr>
      <w:r w:rsidRPr="00F97894">
        <w:rPr>
          <w:rFonts w:ascii="Times New Roman" w:hAnsi="Times New Roman" w:cs="Times New Roman"/>
          <w:b/>
          <w:bCs/>
          <w:sz w:val="24"/>
          <w:szCs w:val="24"/>
        </w:rPr>
        <w:t>Materials and methods</w:t>
      </w:r>
    </w:p>
    <w:p w14:paraId="46BBB023" w14:textId="77777777" w:rsidR="00363191" w:rsidRPr="00F97894"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All examinations were performed in the pediatric department of the Hospital International </w:t>
      </w:r>
      <w:proofErr w:type="spellStart"/>
      <w:r>
        <w:rPr>
          <w:rFonts w:ascii="Times New Roman" w:hAnsi="Times New Roman" w:cs="Times New Roman"/>
          <w:sz w:val="24"/>
          <w:szCs w:val="24"/>
        </w:rPr>
        <w:t>Medpark</w:t>
      </w:r>
      <w:proofErr w:type="spellEnd"/>
      <w:r>
        <w:rPr>
          <w:rFonts w:ascii="Times New Roman" w:hAnsi="Times New Roman" w:cs="Times New Roman"/>
          <w:sz w:val="24"/>
          <w:szCs w:val="24"/>
        </w:rPr>
        <w:t xml:space="preserve"> from the Republic of Moldova on a number of 385 newborns and underwent ultrasound examinations of both hips, and the findings were classified according to the method described by Graf. Ultrasound investigations of the </w:t>
      </w:r>
      <w:proofErr w:type="spellStart"/>
      <w:r>
        <w:rPr>
          <w:rFonts w:ascii="Times New Roman" w:hAnsi="Times New Roman" w:cs="Times New Roman"/>
          <w:sz w:val="24"/>
          <w:szCs w:val="24"/>
        </w:rPr>
        <w:t>coxofemoral</w:t>
      </w:r>
      <w:proofErr w:type="spellEnd"/>
      <w:r>
        <w:rPr>
          <w:rFonts w:ascii="Times New Roman" w:hAnsi="Times New Roman" w:cs="Times New Roman"/>
          <w:sz w:val="24"/>
          <w:szCs w:val="24"/>
        </w:rPr>
        <w:t xml:space="preserve"> joints of newborns were performed with the Philips </w:t>
      </w:r>
      <w:proofErr w:type="spellStart"/>
      <w:r>
        <w:rPr>
          <w:rFonts w:ascii="Times New Roman" w:hAnsi="Times New Roman" w:cs="Times New Roman"/>
          <w:sz w:val="24"/>
          <w:szCs w:val="24"/>
        </w:rPr>
        <w:t>Affiniti</w:t>
      </w:r>
      <w:proofErr w:type="spellEnd"/>
      <w:r>
        <w:rPr>
          <w:rFonts w:ascii="Times New Roman" w:hAnsi="Times New Roman" w:cs="Times New Roman"/>
          <w:sz w:val="24"/>
          <w:szCs w:val="24"/>
        </w:rPr>
        <w:t xml:space="preserve"> 30 ultrasound</w:t>
      </w:r>
      <w:r w:rsidRPr="00F97894">
        <w:rPr>
          <w:rFonts w:ascii="Times New Roman" w:hAnsi="Times New Roman" w:cs="Times New Roman"/>
          <w:sz w:val="24"/>
          <w:szCs w:val="24"/>
        </w:rPr>
        <w:t>.</w:t>
      </w:r>
    </w:p>
    <w:p w14:paraId="2961002A" w14:textId="77777777" w:rsidR="00363191" w:rsidRPr="00F97894" w:rsidRDefault="003A1612" w:rsidP="00F97894">
      <w:pPr>
        <w:spacing w:after="0" w:line="240" w:lineRule="auto"/>
        <w:ind w:firstLine="720"/>
        <w:jc w:val="both"/>
        <w:rPr>
          <w:rFonts w:ascii="Times New Roman" w:hAnsi="Times New Roman" w:cs="Times New Roman"/>
          <w:sz w:val="24"/>
          <w:szCs w:val="24"/>
        </w:rPr>
      </w:pPr>
      <w:r w:rsidRPr="00F97894">
        <w:rPr>
          <w:rFonts w:ascii="Times New Roman" w:hAnsi="Times New Roman" w:cs="Times New Roman"/>
          <w:sz w:val="24"/>
          <w:szCs w:val="24"/>
        </w:rPr>
        <w:t xml:space="preserve">Based on this, this study analyzed the value of ultrasound Graf method witch describes </w:t>
      </w:r>
      <w:hyperlink r:id="rId12" w:history="1">
        <w:r w:rsidRPr="00F97894">
          <w:t>alpha</w:t>
        </w:r>
      </w:hyperlink>
      <w:r w:rsidRPr="00F97894">
        <w:rPr>
          <w:rFonts w:ascii="Times New Roman" w:hAnsi="Times New Roman" w:cs="Times New Roman"/>
          <w:sz w:val="24"/>
          <w:szCs w:val="24"/>
        </w:rPr>
        <w:t> and </w:t>
      </w:r>
      <w:hyperlink r:id="rId13" w:history="1">
        <w:r w:rsidRPr="00F97894">
          <w:t>beta</w:t>
        </w:r>
      </w:hyperlink>
      <w:r w:rsidRPr="00F97894">
        <w:rPr>
          <w:rFonts w:ascii="Times New Roman" w:hAnsi="Times New Roman" w:cs="Times New Roman"/>
          <w:sz w:val="24"/>
          <w:szCs w:val="24"/>
        </w:rPr>
        <w:t> angles, in the screening and follow-up of treatment effects in infants and young children with congenital hip dysplasia, so as to provide a reliable basis for clinical diagnosis and treatment.</w:t>
      </w:r>
      <w:r>
        <w:rPr>
          <w:rFonts w:ascii="Times New Roman" w:hAnsi="Times New Roman" w:cs="Times New Roman"/>
          <w:sz w:val="24"/>
          <w:szCs w:val="24"/>
        </w:rPr>
        <w:t> </w:t>
      </w:r>
    </w:p>
    <w:p w14:paraId="09500FBF" w14:textId="77777777" w:rsidR="00363191" w:rsidRPr="00F97894"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For the purposes of the present study, the Graf method </w:t>
      </w:r>
      <w:hyperlink r:id="rId14" w:anchor="bib5" w:history="1">
        <w:r w:rsidRPr="00F97894">
          <w:t>[</w:t>
        </w:r>
        <w:r w:rsidRPr="00F97894">
          <w:rPr>
            <w:rFonts w:ascii="Times New Roman" w:hAnsi="Times New Roman"/>
          </w:rPr>
          <w:t>20</w:t>
        </w:r>
        <w:r w:rsidRPr="00F97894">
          <w:t>–</w:t>
        </w:r>
        <w:r w:rsidRPr="00F97894">
          <w:rPr>
            <w:rFonts w:ascii="Times New Roman" w:hAnsi="Times New Roman"/>
          </w:rPr>
          <w:t>22</w:t>
        </w:r>
        <w:r w:rsidRPr="00F97894">
          <w:t>]</w:t>
        </w:r>
      </w:hyperlink>
      <w:r>
        <w:rPr>
          <w:rFonts w:ascii="Times New Roman" w:hAnsi="Times New Roman" w:cs="Times New Roman"/>
          <w:sz w:val="24"/>
          <w:szCs w:val="24"/>
        </w:rPr>
        <w:t> was used to classify the forms of hip dysplasia on the basis of their ultrasound features, as shown in </w:t>
      </w:r>
      <w:hyperlink r:id="rId15" w:tgtFrame="https://www.ncbi.nlm.nih.gov/pmc/articles/PMC3553277/table" w:history="1">
        <w:r w:rsidRPr="00F97894">
          <w:t>Table 1</w:t>
        </w:r>
      </w:hyperlink>
      <w:r>
        <w:rPr>
          <w:rFonts w:ascii="Times New Roman" w:hAnsi="Times New Roman" w:cs="Times New Roman"/>
          <w:sz w:val="24"/>
          <w:szCs w:val="24"/>
        </w:rPr>
        <w:t>.</w:t>
      </w:r>
    </w:p>
    <w:p w14:paraId="5F78C69C" w14:textId="77777777" w:rsidR="00363191" w:rsidRDefault="00363191">
      <w:pPr>
        <w:pStyle w:val="af"/>
        <w:spacing w:before="400" w:beforeAutospacing="0" w:after="400" w:afterAutospacing="0"/>
        <w:ind w:firstLine="720"/>
        <w:jc w:val="both"/>
      </w:pPr>
    </w:p>
    <w:p w14:paraId="37683FAA" w14:textId="77777777" w:rsidR="00363191" w:rsidRDefault="003A1612">
      <w:pPr>
        <w:pStyle w:val="3"/>
        <w:spacing w:beforeAutospacing="0" w:afterAutospacing="0"/>
        <w:jc w:val="both"/>
        <w:rPr>
          <w:rFonts w:ascii="Times New Roman" w:hAnsi="Times New Roman" w:hint="default"/>
          <w:sz w:val="24"/>
          <w:szCs w:val="24"/>
        </w:rPr>
      </w:pPr>
      <w:r>
        <w:rPr>
          <w:rFonts w:ascii="Times New Roman" w:eastAsia="Cambria" w:hAnsi="Times New Roman" w:hint="default"/>
          <w:sz w:val="24"/>
          <w:szCs w:val="24"/>
        </w:rPr>
        <w:t xml:space="preserve">Table 1. </w:t>
      </w:r>
      <w:r>
        <w:rPr>
          <w:rFonts w:ascii="Times New Roman" w:hAnsi="Times New Roman" w:hint="default"/>
          <w:sz w:val="24"/>
          <w:szCs w:val="24"/>
        </w:rPr>
        <w:t>The Graf classification of hip dysplasia (Graf et al. 2001).</w:t>
      </w:r>
    </w:p>
    <w:tbl>
      <w:tblPr>
        <w:tblW w:w="10114" w:type="dxa"/>
        <w:tblInd w:w="-355" w:type="dxa"/>
        <w:tblBorders>
          <w:top w:val="single" w:sz="6" w:space="0" w:color="000000"/>
          <w:bottom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788"/>
        <w:gridCol w:w="2100"/>
        <w:gridCol w:w="4115"/>
        <w:gridCol w:w="1275"/>
        <w:gridCol w:w="836"/>
      </w:tblGrid>
      <w:tr w:rsidR="00363191" w14:paraId="36045CC4" w14:textId="77777777">
        <w:trPr>
          <w:trHeight w:val="680"/>
          <w:tblHeader/>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55F334D" w14:textId="77777777" w:rsidR="00363191" w:rsidRDefault="003A1612">
            <w:pPr>
              <w:spacing w:after="0"/>
              <w:jc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eastAsia="zh-CN" w:bidi="ar"/>
              </w:rPr>
              <w:t>Type</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03FE2F2" w14:textId="77777777" w:rsidR="00363191" w:rsidRDefault="003A1612">
            <w:pPr>
              <w:spacing w:after="0"/>
              <w:jc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eastAsia="zh-CN" w:bidi="ar"/>
              </w:rPr>
              <w:t>Superior bone rim</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DF22CD0" w14:textId="77777777" w:rsidR="00363191" w:rsidRDefault="003A1612">
            <w:pPr>
              <w:spacing w:after="0"/>
              <w:jc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eastAsia="zh-CN" w:bidi="ar"/>
              </w:rPr>
              <w:t>Cartilaginous rim</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EAE0BAA" w14:textId="77777777" w:rsidR="00363191" w:rsidRDefault="003A1612">
            <w:pPr>
              <w:spacing w:after="0"/>
              <w:jc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eastAsia="zh-CN" w:bidi="ar"/>
              </w:rPr>
              <w:t>Alpha angle</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6026C5F" w14:textId="77777777" w:rsidR="00363191" w:rsidRDefault="003A1612">
            <w:pPr>
              <w:spacing w:after="0"/>
              <w:jc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eastAsia="zh-CN" w:bidi="ar"/>
              </w:rPr>
              <w:t>Beta angle</w:t>
            </w:r>
          </w:p>
        </w:tc>
      </w:tr>
      <w:tr w:rsidR="00363191" w14:paraId="763A78F8"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067A664" w14:textId="77777777" w:rsidR="00363191" w:rsidRDefault="003A1612">
            <w:pPr>
              <w:spacing w:after="0"/>
              <w:jc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1A Mature hip</w:t>
            </w:r>
          </w:p>
          <w:p w14:paraId="03672658"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 xml:space="preserve"> (</w:t>
            </w:r>
            <w:proofErr w:type="gramStart"/>
            <w:r>
              <w:rPr>
                <w:rFonts w:ascii="Times New Roman" w:eastAsia="SimSun" w:hAnsi="Times New Roman" w:cs="Times New Roman"/>
                <w:color w:val="000000"/>
                <w:sz w:val="24"/>
                <w:szCs w:val="24"/>
                <w:lang w:eastAsia="zh-CN" w:bidi="ar"/>
              </w:rPr>
              <w:t>all</w:t>
            </w:r>
            <w:proofErr w:type="gramEnd"/>
            <w:r>
              <w:rPr>
                <w:rFonts w:ascii="Times New Roman" w:eastAsia="SimSun" w:hAnsi="Times New Roman" w:cs="Times New Roman"/>
                <w:color w:val="000000"/>
                <w:sz w:val="24"/>
                <w:szCs w:val="24"/>
                <w:lang w:eastAsia="zh-CN" w:bidi="ar"/>
              </w:rPr>
              <w:t xml:space="preserve"> ages)</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736B38B"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Sharp</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892B076"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Thin triangle covering the femoral head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E889E52"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&gt;60°</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A2E8894"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&lt;55°</w:t>
            </w:r>
          </w:p>
        </w:tc>
      </w:tr>
      <w:tr w:rsidR="00363191" w14:paraId="2B527CD2"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C3FAED1" w14:textId="77777777" w:rsidR="00363191" w:rsidRDefault="003A1612">
            <w:pPr>
              <w:spacing w:after="0"/>
              <w:jc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 xml:space="preserve">1B Mature hip </w:t>
            </w:r>
          </w:p>
          <w:p w14:paraId="722250FA"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w:t>
            </w:r>
            <w:proofErr w:type="gramStart"/>
            <w:r>
              <w:rPr>
                <w:rFonts w:ascii="Times New Roman" w:eastAsia="SimSun" w:hAnsi="Times New Roman" w:cs="Times New Roman"/>
                <w:color w:val="000000"/>
                <w:sz w:val="24"/>
                <w:szCs w:val="24"/>
                <w:lang w:eastAsia="zh-CN" w:bidi="ar"/>
              </w:rPr>
              <w:t>all</w:t>
            </w:r>
            <w:proofErr w:type="gramEnd"/>
            <w:r>
              <w:rPr>
                <w:rFonts w:ascii="Times New Roman" w:eastAsia="SimSun" w:hAnsi="Times New Roman" w:cs="Times New Roman"/>
                <w:color w:val="000000"/>
                <w:sz w:val="24"/>
                <w:szCs w:val="24"/>
                <w:lang w:eastAsia="zh-CN" w:bidi="ar"/>
              </w:rPr>
              <w:t xml:space="preserve"> ages)</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9898AD8"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Blunted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CA05C69"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Wide base, short, covering the femoral head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F05D6C0"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&gt;60°</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E0C5CD7"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&gt;55°</w:t>
            </w:r>
          </w:p>
        </w:tc>
      </w:tr>
      <w:tr w:rsidR="00363191" w14:paraId="34F35E9D"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68B6087" w14:textId="77777777" w:rsidR="00363191" w:rsidRDefault="003A1612">
            <w:pPr>
              <w:spacing w:after="0"/>
              <w:jc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2A (+/−)</w:t>
            </w:r>
          </w:p>
          <w:p w14:paraId="7C02E585"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 xml:space="preserve"> (</w:t>
            </w:r>
            <w:proofErr w:type="gramStart"/>
            <w:r>
              <w:rPr>
                <w:rFonts w:ascii="Times New Roman" w:eastAsia="SimSun" w:hAnsi="Times New Roman" w:cs="Times New Roman"/>
                <w:color w:val="000000"/>
                <w:sz w:val="24"/>
                <w:szCs w:val="24"/>
                <w:lang w:eastAsia="zh-CN" w:bidi="ar"/>
              </w:rPr>
              <w:t>up</w:t>
            </w:r>
            <w:proofErr w:type="gramEnd"/>
            <w:r>
              <w:rPr>
                <w:rFonts w:ascii="Times New Roman" w:eastAsia="SimSun" w:hAnsi="Times New Roman" w:cs="Times New Roman"/>
                <w:color w:val="000000"/>
                <w:sz w:val="24"/>
                <w:szCs w:val="24"/>
                <w:lang w:eastAsia="zh-CN" w:bidi="ar"/>
              </w:rPr>
              <w:t xml:space="preserve"> to 1 month)</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62C0E4A"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Rounded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32CE0CF"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Wide, covering the femoral head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BB93A51"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50°–59°</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BFF1C73"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&gt;55°</w:t>
            </w:r>
          </w:p>
        </w:tc>
      </w:tr>
      <w:tr w:rsidR="00363191" w14:paraId="23BE72AC"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7818A2B"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2B (&gt;12 weeks)</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F9E8B5B"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Rounded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0550617"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Covering the femoral head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D766A4"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50°–59°</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A896398"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&gt;55°</w:t>
            </w:r>
          </w:p>
        </w:tc>
      </w:tr>
      <w:tr w:rsidR="00363191" w14:paraId="0F5484A4"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C41E9A7"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2C</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7AD9C35"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Rounded/flattened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A4E96B7"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Borderline coverage</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3F8AED2"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43°–49°</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6575493"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&lt;77°</w:t>
            </w:r>
          </w:p>
        </w:tc>
      </w:tr>
      <w:tr w:rsidR="00363191" w14:paraId="424C51D5"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8713729"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D</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A5DE07B"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Rounded/flattened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E79BE8E"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Compressed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F900855"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43°–49°</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39C67F1"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&gt;77°</w:t>
            </w:r>
          </w:p>
        </w:tc>
      </w:tr>
      <w:tr w:rsidR="00363191" w14:paraId="308A6BC5"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4EC2496"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3A</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244378D"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Flattened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E140ABE"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Compressed cranially without structural alterations</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1ECF1DE"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&lt;43°</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A079922"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&gt;77°</w:t>
            </w:r>
          </w:p>
        </w:tc>
      </w:tr>
      <w:tr w:rsidR="00363191" w14:paraId="47FC5380"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95523CE"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lastRenderedPageBreak/>
              <w:t>3B</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24B7B5D" w14:textId="77777777" w:rsidR="00363191" w:rsidRDefault="003A1612">
            <w:pPr>
              <w:spacing w:after="0"/>
              <w:ind w:firstLine="218"/>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Flattened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4C87D59" w14:textId="77777777" w:rsidR="00363191" w:rsidRDefault="003A1612">
            <w:pPr>
              <w:tabs>
                <w:tab w:val="left" w:pos="220"/>
              </w:tabs>
              <w:spacing w:after="0"/>
              <w:ind w:left="220"/>
              <w:jc w:val="both"/>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Compressed cranially with structural alterations</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A7D7BA7"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&lt;43°</w:t>
            </w:r>
          </w:p>
        </w:tc>
        <w:tc>
          <w:tcPr>
            <w:tcW w:w="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AFD719C" w14:textId="77777777" w:rsidR="00363191" w:rsidRDefault="003A1612">
            <w:pPr>
              <w:spacing w:after="0"/>
              <w:jc w:val="center"/>
              <w:rPr>
                <w:rFonts w:ascii="Times New Roman" w:hAnsi="Times New Roman" w:cs="Times New Roman"/>
                <w:color w:val="000000"/>
                <w:sz w:val="24"/>
                <w:szCs w:val="24"/>
              </w:rPr>
            </w:pPr>
            <w:r>
              <w:rPr>
                <w:rFonts w:ascii="Times New Roman" w:eastAsia="SimSun" w:hAnsi="Times New Roman" w:cs="Times New Roman"/>
                <w:color w:val="000000"/>
                <w:sz w:val="24"/>
                <w:szCs w:val="24"/>
                <w:lang w:eastAsia="zh-CN" w:bidi="ar"/>
              </w:rPr>
              <w:t>&gt;77°</w:t>
            </w:r>
          </w:p>
        </w:tc>
      </w:tr>
      <w:tr w:rsidR="00363191" w14:paraId="259A6CA0"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61C2992" w14:textId="77777777" w:rsidR="00363191" w:rsidRDefault="003A1612">
            <w:pPr>
              <w:spacing w:after="0"/>
              <w:jc w:val="center"/>
              <w:rPr>
                <w:rFonts w:ascii="Times New Roman" w:eastAsia="Cambria" w:hAnsi="Times New Roman" w:cs="Times New Roman"/>
                <w:color w:val="000000"/>
                <w:sz w:val="24"/>
                <w:szCs w:val="24"/>
              </w:rPr>
            </w:pPr>
            <w:r>
              <w:rPr>
                <w:rFonts w:ascii="Times New Roman" w:eastAsia="Cambria" w:hAnsi="Times New Roman" w:cs="Times New Roman"/>
                <w:color w:val="000000"/>
                <w:sz w:val="24"/>
                <w:szCs w:val="24"/>
                <w:lang w:eastAsia="zh-CN" w:bidi="ar"/>
              </w:rPr>
              <w:t>4</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173983C" w14:textId="77777777" w:rsidR="00363191" w:rsidRDefault="003A1612">
            <w:pPr>
              <w:spacing w:after="0"/>
              <w:ind w:firstLine="218"/>
              <w:jc w:val="both"/>
              <w:rPr>
                <w:rFonts w:ascii="Times New Roman" w:eastAsia="Cambria" w:hAnsi="Times New Roman" w:cs="Times New Roman"/>
                <w:color w:val="000000"/>
                <w:sz w:val="24"/>
                <w:szCs w:val="24"/>
              </w:rPr>
            </w:pPr>
            <w:r>
              <w:rPr>
                <w:rFonts w:ascii="Times New Roman" w:eastAsia="Cambria" w:hAnsi="Times New Roman" w:cs="Times New Roman"/>
                <w:color w:val="000000"/>
                <w:sz w:val="24"/>
                <w:szCs w:val="24"/>
                <w:lang w:eastAsia="zh-CN" w:bidi="ar"/>
              </w:rPr>
              <w:t>Flattened</w:t>
            </w: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AA41999" w14:textId="77777777" w:rsidR="00363191" w:rsidRDefault="003A1612">
            <w:pPr>
              <w:tabs>
                <w:tab w:val="left" w:pos="220"/>
              </w:tabs>
              <w:spacing w:after="0"/>
              <w:ind w:left="220"/>
              <w:jc w:val="both"/>
              <w:rPr>
                <w:rFonts w:ascii="Times New Roman" w:eastAsia="Cambria" w:hAnsi="Times New Roman" w:cs="Times New Roman"/>
                <w:color w:val="000000"/>
                <w:sz w:val="24"/>
                <w:szCs w:val="24"/>
              </w:rPr>
            </w:pPr>
            <w:r>
              <w:rPr>
                <w:rFonts w:ascii="Times New Roman" w:eastAsia="Cambria" w:hAnsi="Times New Roman" w:cs="Times New Roman"/>
                <w:color w:val="000000"/>
                <w:sz w:val="24"/>
                <w:szCs w:val="24"/>
                <w:lang w:eastAsia="zh-CN" w:bidi="ar"/>
              </w:rPr>
              <w:t>Compressed caudally</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47700B1" w14:textId="77777777" w:rsidR="00363191" w:rsidRDefault="003A1612">
            <w:pPr>
              <w:spacing w:after="0"/>
              <w:jc w:val="center"/>
              <w:rPr>
                <w:rFonts w:ascii="Times New Roman" w:eastAsia="Cambria" w:hAnsi="Times New Roman" w:cs="Times New Roman"/>
                <w:color w:val="000000"/>
                <w:sz w:val="24"/>
                <w:szCs w:val="24"/>
              </w:rPr>
            </w:pPr>
            <w:r>
              <w:rPr>
                <w:rFonts w:ascii="Times New Roman" w:eastAsia="Cambria" w:hAnsi="Times New Roman" w:cs="Times New Roman"/>
                <w:color w:val="000000"/>
                <w:sz w:val="24"/>
                <w:szCs w:val="24"/>
                <w:lang w:eastAsia="zh-CN" w:bidi="ar"/>
              </w:rPr>
              <w:t>Not measurable</w:t>
            </w:r>
          </w:p>
        </w:tc>
        <w:tc>
          <w:tcPr>
            <w:tcW w:w="83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622E63" w14:textId="77777777" w:rsidR="00363191" w:rsidRDefault="00363191">
            <w:pPr>
              <w:jc w:val="center"/>
              <w:rPr>
                <w:rFonts w:ascii="Times New Roman" w:hAnsi="Times New Roman" w:cs="Times New Roman"/>
                <w:color w:val="000000"/>
                <w:sz w:val="24"/>
                <w:szCs w:val="24"/>
              </w:rPr>
            </w:pPr>
          </w:p>
        </w:tc>
      </w:tr>
      <w:tr w:rsidR="00363191" w14:paraId="170A672A" w14:textId="77777777">
        <w:trPr>
          <w:trHeight w:val="680"/>
        </w:trPr>
        <w:tc>
          <w:tcPr>
            <w:tcW w:w="1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45F5BE" w14:textId="77777777" w:rsidR="00363191" w:rsidRDefault="00363191">
            <w:pPr>
              <w:spacing w:after="0"/>
              <w:jc w:val="center"/>
              <w:rPr>
                <w:rFonts w:ascii="Times New Roman" w:eastAsia="Cambria" w:hAnsi="Times New Roman" w:cs="Times New Roman"/>
                <w:color w:val="000000"/>
                <w:sz w:val="24"/>
                <w:szCs w:val="24"/>
                <w:lang w:eastAsia="zh-CN" w:bidi="ar"/>
              </w:rPr>
            </w:pP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6F135AC" w14:textId="77777777" w:rsidR="00363191" w:rsidRDefault="00363191">
            <w:pPr>
              <w:spacing w:after="0"/>
              <w:ind w:firstLine="218"/>
              <w:jc w:val="both"/>
              <w:rPr>
                <w:rFonts w:ascii="Times New Roman" w:eastAsia="Cambria" w:hAnsi="Times New Roman" w:cs="Times New Roman"/>
                <w:color w:val="000000"/>
                <w:sz w:val="24"/>
                <w:szCs w:val="24"/>
                <w:lang w:eastAsia="zh-CN" w:bidi="ar"/>
              </w:rPr>
            </w:pPr>
          </w:p>
        </w:tc>
        <w:tc>
          <w:tcPr>
            <w:tcW w:w="41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EA4AB13" w14:textId="77777777" w:rsidR="00363191" w:rsidRDefault="00363191">
            <w:pPr>
              <w:tabs>
                <w:tab w:val="left" w:pos="220"/>
              </w:tabs>
              <w:spacing w:after="0"/>
              <w:ind w:left="220"/>
              <w:jc w:val="both"/>
              <w:rPr>
                <w:rFonts w:ascii="Times New Roman" w:eastAsia="Cambria" w:hAnsi="Times New Roman" w:cs="Times New Roman"/>
                <w:color w:val="000000"/>
                <w:sz w:val="24"/>
                <w:szCs w:val="24"/>
                <w:lang w:eastAsia="zh-CN" w:bidi="ar"/>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E43DC75" w14:textId="77777777" w:rsidR="00363191" w:rsidRDefault="00363191">
            <w:pPr>
              <w:spacing w:after="0"/>
              <w:jc w:val="center"/>
              <w:rPr>
                <w:rFonts w:ascii="Times New Roman" w:eastAsia="Cambria" w:hAnsi="Times New Roman" w:cs="Times New Roman"/>
                <w:color w:val="000000"/>
                <w:sz w:val="24"/>
                <w:szCs w:val="24"/>
                <w:lang w:eastAsia="zh-CN" w:bidi="ar"/>
              </w:rPr>
            </w:pPr>
          </w:p>
        </w:tc>
        <w:tc>
          <w:tcPr>
            <w:tcW w:w="83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6D455A" w14:textId="77777777" w:rsidR="00363191" w:rsidRDefault="00363191">
            <w:pPr>
              <w:jc w:val="center"/>
              <w:rPr>
                <w:rFonts w:ascii="Times New Roman" w:hAnsi="Times New Roman" w:cs="Times New Roman"/>
                <w:color w:val="000000"/>
                <w:sz w:val="24"/>
                <w:szCs w:val="24"/>
              </w:rPr>
            </w:pPr>
          </w:p>
        </w:tc>
      </w:tr>
    </w:tbl>
    <w:p w14:paraId="05246518" w14:textId="77777777" w:rsidR="00363191" w:rsidRDefault="003A1612">
      <w:pPr>
        <w:jc w:val="both"/>
        <w:rPr>
          <w:rFonts w:ascii="Times New Roman" w:eastAsia="SimSun" w:hAnsi="Times New Roman" w:cs="Times New Roman"/>
          <w:sz w:val="24"/>
          <w:szCs w:val="24"/>
        </w:rPr>
      </w:pPr>
      <w:r>
        <w:rPr>
          <w:rFonts w:ascii="Times New Roman" w:eastAsia="SimSun" w:hAnsi="Times New Roman" w:cs="Times New Roman"/>
          <w:noProof/>
          <w:sz w:val="24"/>
          <w:szCs w:val="24"/>
        </w:rPr>
        <w:drawing>
          <wp:inline distT="0" distB="0" distL="0" distR="0" wp14:anchorId="02E72FA9" wp14:editId="7A1C112D">
            <wp:extent cx="5904865" cy="1886585"/>
            <wp:effectExtent l="9525" t="9525" r="10160" b="27940"/>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16"/>
                    <a:srcRect b="3876"/>
                    <a:stretch>
                      <a:fillRect/>
                    </a:stretch>
                  </pic:blipFill>
                  <pic:spPr>
                    <a:xfrm>
                      <a:off x="0" y="0"/>
                      <a:ext cx="5904865" cy="1886585"/>
                    </a:xfrm>
                    <a:prstGeom prst="rect">
                      <a:avLst/>
                    </a:prstGeom>
                    <a:noFill/>
                    <a:ln w="9525">
                      <a:solidFill>
                        <a:schemeClr val="tx1"/>
                      </a:solidFill>
                    </a:ln>
                  </pic:spPr>
                </pic:pic>
              </a:graphicData>
            </a:graphic>
          </wp:inline>
        </w:drawing>
      </w:r>
    </w:p>
    <w:p w14:paraId="6046EAFC" w14:textId="77777777" w:rsidR="00363191" w:rsidRDefault="003A1612">
      <w:pPr>
        <w:jc w:val="both"/>
        <w:rPr>
          <w:rFonts w:ascii="Times New Roman" w:eastAsia="SimSun" w:hAnsi="Times New Roman" w:cs="Times New Roman"/>
          <w:sz w:val="24"/>
          <w:szCs w:val="24"/>
        </w:rPr>
      </w:pPr>
      <w:r>
        <w:t xml:space="preserve">Figure </w:t>
      </w:r>
      <w:r>
        <w:fldChar w:fldCharType="begin"/>
      </w:r>
      <w:r>
        <w:instrText xml:space="preserve"> SEQ Figure \* Arabic </w:instrText>
      </w:r>
      <w:r>
        <w:fldChar w:fldCharType="separate"/>
      </w:r>
      <w:r>
        <w:t>1</w:t>
      </w:r>
      <w:r>
        <w:fldChar w:fldCharType="end"/>
      </w:r>
      <w:r>
        <w:t xml:space="preserve">. Measuring normal angles by degrees </w:t>
      </w:r>
    </w:p>
    <w:p w14:paraId="1BB1B844" w14:textId="77777777" w:rsidR="00363191" w:rsidRDefault="00363191">
      <w:pPr>
        <w:jc w:val="both"/>
        <w:rPr>
          <w:rFonts w:ascii="Times New Roman" w:eastAsia="SimSun" w:hAnsi="Times New Roman" w:cs="Times New Roman"/>
          <w:sz w:val="24"/>
          <w:szCs w:val="24"/>
        </w:rPr>
      </w:pPr>
    </w:p>
    <w:p w14:paraId="0BF6BFB4" w14:textId="77777777" w:rsidR="00363191" w:rsidRDefault="003A1612">
      <w:pPr>
        <w:jc w:val="both"/>
        <w:rPr>
          <w:rFonts w:ascii="Times New Roman" w:eastAsia="SimSun" w:hAnsi="Times New Roman" w:cs="Times New Roman"/>
          <w:sz w:val="24"/>
          <w:szCs w:val="24"/>
        </w:rPr>
      </w:pPr>
      <w:r>
        <w:rPr>
          <w:rFonts w:ascii="Times New Roman" w:eastAsia="SimSun" w:hAnsi="Times New Roman" w:cs="Times New Roman"/>
          <w:noProof/>
          <w:sz w:val="24"/>
          <w:szCs w:val="24"/>
        </w:rPr>
        <w:lastRenderedPageBreak/>
        <w:drawing>
          <wp:inline distT="0" distB="0" distL="0" distR="0" wp14:anchorId="21CBE0B1" wp14:editId="25779BBA">
            <wp:extent cx="5937250" cy="4594225"/>
            <wp:effectExtent l="9525" t="9525" r="15875" b="25400"/>
            <wp:docPr id="2" name="Picture 5" descr="437843_1_En_4_Fig6_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437843_1_En_4_Fig6_HTML"/>
                    <pic:cNvPicPr>
                      <a:picLocks noChangeAspect="1"/>
                    </pic:cNvPicPr>
                  </pic:nvPicPr>
                  <pic:blipFill>
                    <a:blip r:embed="rId17"/>
                    <a:stretch>
                      <a:fillRect/>
                    </a:stretch>
                  </pic:blipFill>
                  <pic:spPr>
                    <a:xfrm>
                      <a:off x="0" y="0"/>
                      <a:ext cx="5937250" cy="4594225"/>
                    </a:xfrm>
                    <a:prstGeom prst="rect">
                      <a:avLst/>
                    </a:prstGeom>
                    <a:ln>
                      <a:solidFill>
                        <a:schemeClr val="tx1"/>
                      </a:solidFill>
                    </a:ln>
                  </pic:spPr>
                </pic:pic>
              </a:graphicData>
            </a:graphic>
          </wp:inline>
        </w:drawing>
      </w:r>
      <w:r>
        <w:t xml:space="preserve">Figure </w:t>
      </w:r>
      <w:r>
        <w:rPr>
          <w:lang w:val="zh-CN"/>
        </w:rPr>
        <w:t>2</w:t>
      </w:r>
      <w:r>
        <w:t xml:space="preserve">.  Graf method for ultrasound classification of developmental dysplasia of the hip. </w:t>
      </w:r>
    </w:p>
    <w:p w14:paraId="14251C4F" w14:textId="77777777" w:rsidR="00363191" w:rsidRDefault="00363191">
      <w:pPr>
        <w:jc w:val="both"/>
        <w:rPr>
          <w:rFonts w:ascii="Times New Roman" w:eastAsia="SimSun" w:hAnsi="Times New Roman" w:cs="Times New Roman"/>
          <w:sz w:val="24"/>
          <w:szCs w:val="24"/>
        </w:rPr>
      </w:pPr>
    </w:p>
    <w:p w14:paraId="6EBBB3DA" w14:textId="77777777" w:rsidR="00363191" w:rsidRDefault="00363191">
      <w:pPr>
        <w:jc w:val="both"/>
      </w:pPr>
    </w:p>
    <w:p w14:paraId="31EF9208" w14:textId="77777777" w:rsidR="00363191" w:rsidRDefault="003A1612">
      <w:pPr>
        <w:jc w:val="both"/>
      </w:pPr>
      <w:r>
        <w:rPr>
          <w:noProof/>
        </w:rPr>
        <w:lastRenderedPageBreak/>
        <w:drawing>
          <wp:inline distT="0" distB="0" distL="0" distR="0" wp14:anchorId="789DF599" wp14:editId="5EE3F647">
            <wp:extent cx="5943600" cy="24663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8"/>
                    <a:stretch>
                      <a:fillRect/>
                    </a:stretch>
                  </pic:blipFill>
                  <pic:spPr>
                    <a:xfrm>
                      <a:off x="0" y="0"/>
                      <a:ext cx="5943599" cy="2466842"/>
                    </a:xfrm>
                    <a:prstGeom prst="rect">
                      <a:avLst/>
                    </a:prstGeom>
                  </pic:spPr>
                </pic:pic>
              </a:graphicData>
            </a:graphic>
          </wp:inline>
        </w:drawing>
      </w:r>
      <w:r>
        <w:t xml:space="preserve">Figure </w:t>
      </w:r>
      <w:r>
        <w:fldChar w:fldCharType="begin"/>
      </w:r>
      <w:r>
        <w:instrText xml:space="preserve"> SEQ Figure \* Arabic </w:instrText>
      </w:r>
      <w:r>
        <w:fldChar w:fldCharType="separate"/>
      </w:r>
      <w:r>
        <w:rPr>
          <w:lang w:val="zh-CN"/>
        </w:rPr>
        <w:t>3</w:t>
      </w:r>
      <w:r>
        <w:fldChar w:fldCharType="end"/>
      </w:r>
      <w:r>
        <w:t xml:space="preserve">. Ultrasound dysplasia grade </w:t>
      </w:r>
      <w:r>
        <w:rPr>
          <w:lang w:val="zh-CN"/>
        </w:rPr>
        <w:t>II</w:t>
      </w:r>
      <w:r>
        <w:t xml:space="preserve"> newborns </w:t>
      </w:r>
      <w:hyperlink r:id="rId19" w:tooltip="Alexiev, V.A., Harcke, H.T. and Kumar, S.J. (2006) Residual Dysplasia after Successful Pavlik Harness Treatment: Early Ultrasound Predictors. Journal of Pediatric Orthopaedics, 26, 16-23. https://doi.org/10.1097/01.bpo.0000187995.02140.c7" w:history="1">
        <w:r>
          <w:rPr>
            <w:rStyle w:val="ae"/>
          </w:rPr>
          <w:t>[23]</w:t>
        </w:r>
      </w:hyperlink>
    </w:p>
    <w:p w14:paraId="4EC1FCAB" w14:textId="77777777" w:rsidR="00363191" w:rsidRDefault="00363191">
      <w:pPr>
        <w:jc w:val="both"/>
      </w:pPr>
    </w:p>
    <w:p w14:paraId="03071C11" w14:textId="77777777" w:rsidR="00363191" w:rsidRDefault="003A1612">
      <w:pPr>
        <w:jc w:val="both"/>
      </w:pPr>
      <w:r>
        <w:rPr>
          <w:noProof/>
        </w:rPr>
        <w:drawing>
          <wp:inline distT="0" distB="0" distL="0" distR="0" wp14:anchorId="6A6BD9D5" wp14:editId="4690AAA1">
            <wp:extent cx="5943600" cy="2590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20"/>
                    <a:stretch>
                      <a:fillRect/>
                    </a:stretch>
                  </pic:blipFill>
                  <pic:spPr>
                    <a:xfrm>
                      <a:off x="0" y="0"/>
                      <a:ext cx="5943599" cy="2591038"/>
                    </a:xfrm>
                    <a:prstGeom prst="rect">
                      <a:avLst/>
                    </a:prstGeom>
                  </pic:spPr>
                </pic:pic>
              </a:graphicData>
            </a:graphic>
          </wp:inline>
        </w:drawing>
      </w:r>
      <w:r>
        <w:t xml:space="preserve">Figure </w:t>
      </w:r>
      <w:r>
        <w:fldChar w:fldCharType="begin"/>
      </w:r>
      <w:r>
        <w:instrText xml:space="preserve"> SEQ Figure \* Arabic </w:instrText>
      </w:r>
      <w:r>
        <w:fldChar w:fldCharType="separate"/>
      </w:r>
      <w:r>
        <w:rPr>
          <w:lang w:val="zh-CN"/>
        </w:rPr>
        <w:t>4</w:t>
      </w:r>
      <w:r>
        <w:fldChar w:fldCharType="end"/>
      </w:r>
      <w:r>
        <w:t xml:space="preserve">. Ultrasound dysplasia grade III newborns </w:t>
      </w:r>
      <w:hyperlink r:id="rId21" w:anchor="grafs-classification-type-iii" w:tooltip="https://radiologyassistant.nl/pediatrics/hip/developmental-dysplasia-of-the-hip-ultrasound#grafs-classification-type-iii" w:history="1">
        <w:r>
          <w:rPr>
            <w:rStyle w:val="ae"/>
          </w:rPr>
          <w:t>[24]</w:t>
        </w:r>
      </w:hyperlink>
    </w:p>
    <w:p w14:paraId="42CC79E3" w14:textId="77777777" w:rsidR="00363191" w:rsidRDefault="00363191">
      <w:pPr>
        <w:jc w:val="both"/>
        <w:rPr>
          <w:rFonts w:ascii="Times New Roman" w:hAnsi="Times New Roman" w:cs="Times New Roman"/>
          <w:b/>
          <w:bCs/>
          <w:sz w:val="28"/>
          <w:szCs w:val="28"/>
        </w:rPr>
      </w:pPr>
    </w:p>
    <w:p w14:paraId="396CDEC5" w14:textId="77777777" w:rsidR="00363191" w:rsidRDefault="00363191">
      <w:pPr>
        <w:jc w:val="both"/>
        <w:rPr>
          <w:rFonts w:ascii="Times New Roman" w:hAnsi="Times New Roman" w:cs="Times New Roman"/>
          <w:b/>
          <w:bCs/>
          <w:sz w:val="28"/>
          <w:szCs w:val="28"/>
        </w:rPr>
      </w:pPr>
    </w:p>
    <w:p w14:paraId="20AB0C3A" w14:textId="6AAC0E36" w:rsidR="00363191" w:rsidRPr="00F97894" w:rsidRDefault="00F97894" w:rsidP="00F97894">
      <w:pPr>
        <w:spacing w:after="0"/>
        <w:jc w:val="both"/>
        <w:rPr>
          <w:rFonts w:ascii="Times New Roman" w:hAnsi="Times New Roman" w:cs="Times New Roman"/>
          <w:b/>
          <w:bCs/>
          <w:sz w:val="24"/>
          <w:szCs w:val="24"/>
        </w:rPr>
      </w:pPr>
      <w:r w:rsidRPr="00F97894">
        <w:rPr>
          <w:rFonts w:ascii="Times New Roman" w:hAnsi="Times New Roman" w:cs="Times New Roman"/>
          <w:b/>
          <w:bCs/>
          <w:sz w:val="24"/>
          <w:szCs w:val="24"/>
        </w:rPr>
        <w:t>Results</w:t>
      </w:r>
    </w:p>
    <w:p w14:paraId="04B235C7" w14:textId="77777777" w:rsidR="00363191" w:rsidRDefault="003A1612" w:rsidP="00F97894">
      <w:pPr>
        <w:spacing w:after="0" w:line="240" w:lineRule="auto"/>
        <w:ind w:firstLine="720"/>
        <w:jc w:val="both"/>
        <w:rPr>
          <w:rFonts w:ascii="Times New Roman" w:hAnsi="Times New Roman" w:cs="Times New Roman"/>
          <w:sz w:val="24"/>
          <w:szCs w:val="24"/>
        </w:rPr>
      </w:pPr>
      <w:r w:rsidRPr="00F97894">
        <w:rPr>
          <w:rFonts w:ascii="Times New Roman" w:hAnsi="Times New Roman" w:cs="Times New Roman"/>
          <w:sz w:val="24"/>
          <w:szCs w:val="24"/>
        </w:rPr>
        <w:t xml:space="preserve">Congenital hip dysplasia is one of the major clinical congenital malformations, and it has a high disability rate for infants and young children. </w:t>
      </w:r>
      <w:r>
        <w:rPr>
          <w:rFonts w:ascii="Times New Roman" w:hAnsi="Times New Roman" w:cs="Times New Roman"/>
          <w:sz w:val="24"/>
          <w:szCs w:val="24"/>
        </w:rPr>
        <w:t xml:space="preserve">The risk factors include positive family history, breech presentation, and the presence of an unstable hip examination at birth. The left hip alone is affected in 60% of infants, the right hip in 20% of infants, and both hips in 20% of infants. </w:t>
      </w:r>
    </w:p>
    <w:p w14:paraId="43C5D5C1" w14:textId="77777777" w:rsidR="00363191" w:rsidRDefault="003A1612" w:rsidP="00F978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An explanation behind the left-hip predominance may be attributed to the typical left occiput anterior presentation during vaginal birth. This position causes the left hip to be adducted </w:t>
      </w:r>
      <w:r>
        <w:rPr>
          <w:rFonts w:ascii="Times New Roman" w:hAnsi="Times New Roman" w:cs="Times New Roman"/>
          <w:sz w:val="24"/>
          <w:szCs w:val="24"/>
        </w:rPr>
        <w:lastRenderedPageBreak/>
        <w:t xml:space="preserve">because it abuts the mother’s lumbosacral spine. Girls’ hips are more sensitive to the ligamentous laxity induced by the maternal hormone </w:t>
      </w:r>
      <w:proofErr w:type="spellStart"/>
      <w:r>
        <w:rPr>
          <w:rFonts w:ascii="Times New Roman" w:hAnsi="Times New Roman" w:cs="Times New Roman"/>
          <w:sz w:val="24"/>
          <w:szCs w:val="24"/>
        </w:rPr>
        <w:t>relaxin</w:t>
      </w:r>
      <w:proofErr w:type="spellEnd"/>
      <w:r>
        <w:rPr>
          <w:rFonts w:ascii="Times New Roman" w:hAnsi="Times New Roman" w:cs="Times New Roman"/>
          <w:sz w:val="24"/>
          <w:szCs w:val="24"/>
        </w:rPr>
        <w:t>, which is thought to contribute to the higher incidence of DDH in female infants.</w:t>
      </w:r>
    </w:p>
    <w:p w14:paraId="17A62B60" w14:textId="77777777" w:rsidR="00363191" w:rsidRPr="00F97894" w:rsidRDefault="003A1612" w:rsidP="00F97894">
      <w:pPr>
        <w:spacing w:after="0" w:line="240" w:lineRule="auto"/>
        <w:ind w:firstLine="720"/>
        <w:jc w:val="both"/>
        <w:rPr>
          <w:rFonts w:ascii="Times New Roman" w:hAnsi="Times New Roman" w:cs="Times New Roman"/>
          <w:sz w:val="24"/>
          <w:szCs w:val="24"/>
        </w:rPr>
      </w:pPr>
      <w:r w:rsidRPr="00F97894">
        <w:rPr>
          <w:rFonts w:ascii="Times New Roman" w:hAnsi="Times New Roman" w:cs="Times New Roman"/>
          <w:sz w:val="24"/>
          <w:szCs w:val="24"/>
        </w:rPr>
        <w:t xml:space="preserve">A total of 165 hips requiring treatment were observed in 152 children. Hip dysplasia and/or dislocation were diagnosed between the ages of 3 days and 3 months. One month after diagnosis ultrasound findings were normal in 94% of the infants with at least one hip classified as type 2a. The remaining 6% were classified as types 2b, and 3. </w:t>
      </w:r>
    </w:p>
    <w:p w14:paraId="688D1A54" w14:textId="35C2BF31" w:rsidR="00363191" w:rsidRPr="00F97894" w:rsidRDefault="003A1612" w:rsidP="00F97894">
      <w:pPr>
        <w:spacing w:after="0" w:line="240" w:lineRule="auto"/>
        <w:ind w:firstLine="720"/>
        <w:jc w:val="both"/>
        <w:rPr>
          <w:rFonts w:ascii="Times New Roman" w:hAnsi="Times New Roman" w:cs="Times New Roman"/>
          <w:sz w:val="24"/>
          <w:szCs w:val="24"/>
        </w:rPr>
      </w:pPr>
      <w:r w:rsidRPr="00F97894">
        <w:rPr>
          <w:rFonts w:ascii="Times New Roman" w:hAnsi="Times New Roman" w:cs="Times New Roman"/>
          <w:sz w:val="24"/>
          <w:szCs w:val="24"/>
        </w:rPr>
        <w:t>All were treated with abduction splints, and normal hip development was observed after one or two months of treatment. Type 3 hips were referred to an orthopedic surgeon for specialist treatment.</w:t>
      </w:r>
    </w:p>
    <w:p w14:paraId="0837EAAD" w14:textId="4D141E4E" w:rsidR="00363191" w:rsidRPr="00F97894" w:rsidRDefault="00F97894" w:rsidP="00F97894">
      <w:pPr>
        <w:spacing w:after="0" w:line="240" w:lineRule="auto"/>
        <w:ind w:firstLine="720"/>
        <w:jc w:val="both"/>
        <w:rPr>
          <w:rFonts w:ascii="Times New Roman" w:hAnsi="Times New Roman" w:cs="Times New Roman"/>
          <w:b/>
          <w:bCs/>
          <w:sz w:val="24"/>
          <w:szCs w:val="24"/>
        </w:rPr>
      </w:pPr>
      <w:r w:rsidRPr="00F97894">
        <w:rPr>
          <w:rFonts w:ascii="Times New Roman" w:hAnsi="Times New Roman" w:cs="Times New Roman"/>
          <w:b/>
          <w:bCs/>
          <w:sz w:val="24"/>
          <w:szCs w:val="24"/>
        </w:rPr>
        <w:t>Conclusion</w:t>
      </w:r>
    </w:p>
    <w:p w14:paraId="5C7E2404" w14:textId="6A9E77EF" w:rsidR="00363191" w:rsidRDefault="003A1612" w:rsidP="00F97894">
      <w:pPr>
        <w:spacing w:after="0" w:line="240" w:lineRule="auto"/>
        <w:ind w:firstLine="720"/>
        <w:jc w:val="both"/>
        <w:rPr>
          <w:rFonts w:ascii="Times New Roman" w:hAnsi="Times New Roman" w:cs="Times New Roman"/>
          <w:sz w:val="24"/>
          <w:szCs w:val="24"/>
        </w:rPr>
      </w:pPr>
      <w:r w:rsidRPr="00F97894">
        <w:rPr>
          <w:rFonts w:ascii="Times New Roman" w:hAnsi="Times New Roman" w:cs="Times New Roman"/>
          <w:sz w:val="24"/>
          <w:szCs w:val="24"/>
        </w:rPr>
        <w:t xml:space="preserve">To conclude, in terms of incidence, evolution, and difficulty of treatment, dysplasia of the hip constitutes one of the major orthopedic disorders. Over the last 20 years, the advent of ultrasonographic techniques has radically changed the prognosis of CDH, and today it rarely requires surgical treatment. Ultrasound is a valuable tool in the </w:t>
      </w:r>
      <w:proofErr w:type="spellStart"/>
      <w:r w:rsidRPr="00F97894">
        <w:rPr>
          <w:rFonts w:ascii="Times New Roman" w:hAnsi="Times New Roman" w:cs="Times New Roman"/>
          <w:sz w:val="24"/>
          <w:szCs w:val="24"/>
        </w:rPr>
        <w:t>evalution</w:t>
      </w:r>
      <w:proofErr w:type="spellEnd"/>
      <w:r w:rsidRPr="00F97894">
        <w:rPr>
          <w:rFonts w:ascii="Times New Roman" w:hAnsi="Times New Roman" w:cs="Times New Roman"/>
          <w:sz w:val="24"/>
          <w:szCs w:val="24"/>
        </w:rPr>
        <w:t xml:space="preserve"> of the infant hip. It is cost-effective and accurate in the diagnosis of DDH. All newborns should be screened for DDH by physical and ultrasound examination for effective treatment and rational and modern </w:t>
      </w:r>
      <w:proofErr w:type="spellStart"/>
      <w:proofErr w:type="gramStart"/>
      <w:r w:rsidRPr="00F97894">
        <w:rPr>
          <w:rFonts w:ascii="Times New Roman" w:hAnsi="Times New Roman" w:cs="Times New Roman"/>
          <w:sz w:val="24"/>
          <w:szCs w:val="24"/>
        </w:rPr>
        <w:t>management.Thus</w:t>
      </w:r>
      <w:proofErr w:type="spellEnd"/>
      <w:proofErr w:type="gramEnd"/>
      <w:r w:rsidRPr="00F97894">
        <w:rPr>
          <w:rFonts w:ascii="Times New Roman" w:hAnsi="Times New Roman" w:cs="Times New Roman"/>
          <w:sz w:val="24"/>
          <w:szCs w:val="24"/>
        </w:rPr>
        <w:t xml:space="preserve"> we can outline the necessity of using ultrasound as a sensitive diagnostic tool in the detection and management of DDH and its application as screening at the national level in order to have a healthy society.</w:t>
      </w:r>
    </w:p>
    <w:p w14:paraId="5C6C031C" w14:textId="77777777" w:rsidR="00F97894" w:rsidRPr="00F97894" w:rsidRDefault="00F97894" w:rsidP="00F97894">
      <w:pPr>
        <w:spacing w:after="0" w:line="240" w:lineRule="auto"/>
        <w:ind w:firstLine="720"/>
        <w:jc w:val="both"/>
        <w:rPr>
          <w:rFonts w:ascii="Times New Roman" w:hAnsi="Times New Roman" w:cs="Times New Roman"/>
          <w:sz w:val="24"/>
          <w:szCs w:val="24"/>
        </w:rPr>
      </w:pPr>
    </w:p>
    <w:p w14:paraId="6E38A21D" w14:textId="591D7800" w:rsidR="00363191" w:rsidRPr="00F97894" w:rsidRDefault="00F97894">
      <w:pPr>
        <w:rPr>
          <w:rFonts w:ascii="Times New Roman" w:hAnsi="Times New Roman" w:cs="Times New Roman"/>
          <w:color w:val="342E49"/>
          <w:spacing w:val="5"/>
          <w:sz w:val="24"/>
          <w:szCs w:val="24"/>
          <w:shd w:val="clear" w:color="auto" w:fill="FFFFFF"/>
        </w:rPr>
      </w:pPr>
      <w:r w:rsidRPr="00F97894">
        <w:rPr>
          <w:rFonts w:ascii="Times New Roman" w:hAnsi="Times New Roman" w:cs="Times New Roman"/>
          <w:b/>
          <w:bCs/>
          <w:color w:val="342E49"/>
          <w:spacing w:val="5"/>
          <w:sz w:val="24"/>
          <w:szCs w:val="24"/>
          <w:shd w:val="clear" w:color="auto" w:fill="FFFFFF"/>
        </w:rPr>
        <w:t>Reference</w:t>
      </w:r>
    </w:p>
    <w:p w14:paraId="0DB02B9F"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Aronsson DD, Goldberg MJ, Kling TF Jr, Roy DR. Developmental dysplasia of the hip. Pediatrics. </w:t>
      </w:r>
      <w:proofErr w:type="gramStart"/>
      <w:r>
        <w:rPr>
          <w:color w:val="333333"/>
        </w:rPr>
        <w:t>1994;94:201</w:t>
      </w:r>
      <w:proofErr w:type="gramEnd"/>
      <w:r>
        <w:rPr>
          <w:color w:val="333333"/>
        </w:rPr>
        <w:t>–8.</w:t>
      </w:r>
    </w:p>
    <w:p w14:paraId="3A863A9E"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Register of the Orthopedic Prosthetic Implants. R.I.P.O. Emilia-Romagna Region 2000–2011. </w:t>
      </w:r>
      <w:hyperlink r:id="rId22" w:history="1">
        <w:r>
          <w:rPr>
            <w:rStyle w:val="ae"/>
            <w:color w:val="004B83"/>
          </w:rPr>
          <w:t>http://ripo.cineca.it</w:t>
        </w:r>
      </w:hyperlink>
      <w:r>
        <w:rPr>
          <w:color w:val="333333"/>
        </w:rPr>
        <w:t>.</w:t>
      </w:r>
    </w:p>
    <w:p w14:paraId="4A83A0A8"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proofErr w:type="spellStart"/>
      <w:r>
        <w:rPr>
          <w:color w:val="333333"/>
        </w:rPr>
        <w:t>Engesæter</w:t>
      </w:r>
      <w:proofErr w:type="spellEnd"/>
      <w:r>
        <w:rPr>
          <w:color w:val="333333"/>
        </w:rPr>
        <w:t xml:space="preserve"> IØ, Lehmann T, Laborie LB, Lie SA, Rosendahl K, </w:t>
      </w:r>
      <w:proofErr w:type="spellStart"/>
      <w:r>
        <w:rPr>
          <w:color w:val="333333"/>
        </w:rPr>
        <w:t>Engesæter</w:t>
      </w:r>
      <w:proofErr w:type="spellEnd"/>
      <w:r>
        <w:rPr>
          <w:color w:val="333333"/>
        </w:rPr>
        <w:t xml:space="preserve"> LB. Total hip replacement in young adults with hip dysplasia: age at diagnosis, previous treatment, quality of life, and validation of diagnoses reported to the Norwegian Arthroplasty register between 1987 and 2007. Acta </w:t>
      </w:r>
      <w:proofErr w:type="spellStart"/>
      <w:r>
        <w:rPr>
          <w:color w:val="333333"/>
        </w:rPr>
        <w:t>Orthop</w:t>
      </w:r>
      <w:proofErr w:type="spellEnd"/>
      <w:r>
        <w:rPr>
          <w:color w:val="333333"/>
        </w:rPr>
        <w:t xml:space="preserve">. </w:t>
      </w:r>
      <w:proofErr w:type="gramStart"/>
      <w:r>
        <w:rPr>
          <w:color w:val="333333"/>
        </w:rPr>
        <w:t>2011;82:149</w:t>
      </w:r>
      <w:proofErr w:type="gramEnd"/>
      <w:r>
        <w:rPr>
          <w:color w:val="333333"/>
        </w:rPr>
        <w:t>–54.</w:t>
      </w:r>
    </w:p>
    <w:p w14:paraId="36B71E08"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Nemeth BA, </w:t>
      </w:r>
      <w:proofErr w:type="spellStart"/>
      <w:r>
        <w:rPr>
          <w:color w:val="333333"/>
        </w:rPr>
        <w:t>Narotam</w:t>
      </w:r>
      <w:proofErr w:type="spellEnd"/>
      <w:r>
        <w:rPr>
          <w:color w:val="333333"/>
        </w:rPr>
        <w:t xml:space="preserve"> V. Developmental dysplasia of the hip. </w:t>
      </w:r>
      <w:proofErr w:type="spellStart"/>
      <w:r>
        <w:rPr>
          <w:color w:val="333333"/>
        </w:rPr>
        <w:t>Pediatr</w:t>
      </w:r>
      <w:proofErr w:type="spellEnd"/>
      <w:r>
        <w:rPr>
          <w:color w:val="333333"/>
        </w:rPr>
        <w:t xml:space="preserve"> Rev. </w:t>
      </w:r>
      <w:proofErr w:type="gramStart"/>
      <w:r>
        <w:rPr>
          <w:color w:val="333333"/>
        </w:rPr>
        <w:t>2012;33:553</w:t>
      </w:r>
      <w:proofErr w:type="gramEnd"/>
      <w:r>
        <w:rPr>
          <w:color w:val="333333"/>
        </w:rPr>
        <w:t>–61.</w:t>
      </w:r>
    </w:p>
    <w:p w14:paraId="2A07D9F2"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Leck I. Congenital dislocation of the hip. In: Wald N, Leck I, editors. Antenatal and neonatal screening. Oxford: Oxford University Press; 2000. p. 398–424.</w:t>
      </w:r>
    </w:p>
    <w:p w14:paraId="0A40E5DE"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proofErr w:type="spellStart"/>
      <w:r>
        <w:rPr>
          <w:color w:val="333333"/>
        </w:rPr>
        <w:t>Atti</w:t>
      </w:r>
      <w:proofErr w:type="spellEnd"/>
      <w:r>
        <w:rPr>
          <w:color w:val="333333"/>
        </w:rPr>
        <w:t xml:space="preserve"> G. Diagnosis of congenital hip dysplasia. IJP. </w:t>
      </w:r>
      <w:proofErr w:type="gramStart"/>
      <w:r>
        <w:rPr>
          <w:color w:val="333333"/>
        </w:rPr>
        <w:t>1996;22:478</w:t>
      </w:r>
      <w:proofErr w:type="gramEnd"/>
      <w:r>
        <w:rPr>
          <w:color w:val="333333"/>
        </w:rPr>
        <w:t>–82.</w:t>
      </w:r>
    </w:p>
    <w:p w14:paraId="76BF3E07"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Sink E, Ricciardi B, Torre K, Price C. Selective ultrasound screening is inadequate to identify patients who present with symptomatic adult acetabular dysplasia. J Child </w:t>
      </w:r>
      <w:proofErr w:type="spellStart"/>
      <w:r>
        <w:rPr>
          <w:color w:val="333333"/>
        </w:rPr>
        <w:t>Orthop</w:t>
      </w:r>
      <w:proofErr w:type="spellEnd"/>
      <w:r>
        <w:rPr>
          <w:color w:val="333333"/>
        </w:rPr>
        <w:t xml:space="preserve">. </w:t>
      </w:r>
      <w:proofErr w:type="gramStart"/>
      <w:r>
        <w:rPr>
          <w:color w:val="333333"/>
        </w:rPr>
        <w:t>2014;8:451</w:t>
      </w:r>
      <w:proofErr w:type="gramEnd"/>
      <w:r>
        <w:rPr>
          <w:color w:val="333333"/>
        </w:rPr>
        <w:t>–5.</w:t>
      </w:r>
    </w:p>
    <w:p w14:paraId="21BB7E38"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proofErr w:type="spellStart"/>
      <w:r>
        <w:rPr>
          <w:color w:val="333333"/>
        </w:rPr>
        <w:t>Furnes</w:t>
      </w:r>
      <w:proofErr w:type="spellEnd"/>
      <w:r>
        <w:rPr>
          <w:color w:val="333333"/>
        </w:rPr>
        <w:t xml:space="preserve"> O, Lie SA, </w:t>
      </w:r>
      <w:proofErr w:type="spellStart"/>
      <w:r>
        <w:rPr>
          <w:color w:val="333333"/>
        </w:rPr>
        <w:t>Espehaug</w:t>
      </w:r>
      <w:proofErr w:type="spellEnd"/>
      <w:r>
        <w:rPr>
          <w:color w:val="333333"/>
        </w:rPr>
        <w:t xml:space="preserve"> B, </w:t>
      </w:r>
      <w:proofErr w:type="spellStart"/>
      <w:r>
        <w:rPr>
          <w:color w:val="333333"/>
        </w:rPr>
        <w:t>Vollset</w:t>
      </w:r>
      <w:proofErr w:type="spellEnd"/>
      <w:r>
        <w:rPr>
          <w:color w:val="333333"/>
        </w:rPr>
        <w:t xml:space="preserve"> SE, </w:t>
      </w:r>
      <w:proofErr w:type="spellStart"/>
      <w:r>
        <w:rPr>
          <w:color w:val="333333"/>
        </w:rPr>
        <w:t>Engesaeter</w:t>
      </w:r>
      <w:proofErr w:type="spellEnd"/>
      <w:r>
        <w:rPr>
          <w:color w:val="333333"/>
        </w:rPr>
        <w:t xml:space="preserve"> LB, </w:t>
      </w:r>
      <w:proofErr w:type="spellStart"/>
      <w:r>
        <w:rPr>
          <w:color w:val="333333"/>
        </w:rPr>
        <w:t>Havelin</w:t>
      </w:r>
      <w:proofErr w:type="spellEnd"/>
      <w:r>
        <w:rPr>
          <w:color w:val="333333"/>
        </w:rPr>
        <w:t xml:space="preserve"> LI. Hip disease and the prognosis of total hip replacements. A review of 53,698 primary total hip replacements reported to the Norwegian Arthroplasty register 1987–99. J Bone Joint Surg (Br). </w:t>
      </w:r>
      <w:proofErr w:type="gramStart"/>
      <w:r>
        <w:rPr>
          <w:color w:val="333333"/>
        </w:rPr>
        <w:t>2000;83:579</w:t>
      </w:r>
      <w:proofErr w:type="gramEnd"/>
      <w:r>
        <w:rPr>
          <w:color w:val="333333"/>
        </w:rPr>
        <w:t>–86.</w:t>
      </w:r>
    </w:p>
    <w:p w14:paraId="30E5DE92"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proofErr w:type="spellStart"/>
      <w:r>
        <w:rPr>
          <w:color w:val="333333"/>
        </w:rPr>
        <w:t>Staheli</w:t>
      </w:r>
      <w:proofErr w:type="spellEnd"/>
      <w:r>
        <w:rPr>
          <w:color w:val="333333"/>
        </w:rPr>
        <w:t xml:space="preserve"> LT. Developmental hip dysplasia. In: </w:t>
      </w:r>
      <w:proofErr w:type="spellStart"/>
      <w:r>
        <w:rPr>
          <w:color w:val="333333"/>
        </w:rPr>
        <w:t>Staheli</w:t>
      </w:r>
      <w:proofErr w:type="spellEnd"/>
      <w:r>
        <w:rPr>
          <w:color w:val="333333"/>
        </w:rPr>
        <w:t xml:space="preserve"> LT, editor. Fundamentals of pediatric orthopedics. 3rd ed: Lippincott Williams &amp; Wilkins; 2003. p. 82–5.</w:t>
      </w:r>
    </w:p>
    <w:p w14:paraId="7D9851AA"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De </w:t>
      </w:r>
      <w:proofErr w:type="spellStart"/>
      <w:r>
        <w:rPr>
          <w:color w:val="333333"/>
        </w:rPr>
        <w:t>Pellegrin</w:t>
      </w:r>
      <w:proofErr w:type="spellEnd"/>
      <w:r>
        <w:rPr>
          <w:color w:val="333333"/>
        </w:rPr>
        <w:t xml:space="preserve"> M, </w:t>
      </w:r>
      <w:proofErr w:type="spellStart"/>
      <w:r>
        <w:rPr>
          <w:color w:val="333333"/>
        </w:rPr>
        <w:t>Tessari</w:t>
      </w:r>
      <w:proofErr w:type="spellEnd"/>
      <w:r>
        <w:rPr>
          <w:color w:val="333333"/>
        </w:rPr>
        <w:t xml:space="preserve"> L. Early ultrasound diagnosis of developmental dysplasia of the hip. Bull Hosp </w:t>
      </w:r>
      <w:proofErr w:type="spellStart"/>
      <w:r>
        <w:rPr>
          <w:color w:val="333333"/>
        </w:rPr>
        <w:t>Jt</w:t>
      </w:r>
      <w:proofErr w:type="spellEnd"/>
      <w:r>
        <w:rPr>
          <w:color w:val="333333"/>
        </w:rPr>
        <w:t xml:space="preserve"> Dis. </w:t>
      </w:r>
      <w:proofErr w:type="gramStart"/>
      <w:r>
        <w:rPr>
          <w:color w:val="333333"/>
        </w:rPr>
        <w:t>1996;54:222</w:t>
      </w:r>
      <w:proofErr w:type="gramEnd"/>
      <w:r>
        <w:rPr>
          <w:color w:val="333333"/>
        </w:rPr>
        <w:t>–5.</w:t>
      </w:r>
    </w:p>
    <w:p w14:paraId="5781E3AA"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lastRenderedPageBreak/>
        <w:t xml:space="preserve">Von </w:t>
      </w:r>
      <w:proofErr w:type="spellStart"/>
      <w:r>
        <w:rPr>
          <w:color w:val="333333"/>
        </w:rPr>
        <w:t>Kries</w:t>
      </w:r>
      <w:proofErr w:type="spellEnd"/>
      <w:r>
        <w:rPr>
          <w:color w:val="333333"/>
        </w:rPr>
        <w:t xml:space="preserve"> R, </w:t>
      </w:r>
      <w:proofErr w:type="spellStart"/>
      <w:r>
        <w:rPr>
          <w:color w:val="333333"/>
        </w:rPr>
        <w:t>Ihme</w:t>
      </w:r>
      <w:proofErr w:type="spellEnd"/>
      <w:r>
        <w:rPr>
          <w:color w:val="333333"/>
        </w:rPr>
        <w:t xml:space="preserve"> N, </w:t>
      </w:r>
      <w:proofErr w:type="spellStart"/>
      <w:r>
        <w:rPr>
          <w:color w:val="333333"/>
        </w:rPr>
        <w:t>Altenhofen</w:t>
      </w:r>
      <w:proofErr w:type="spellEnd"/>
      <w:r>
        <w:rPr>
          <w:color w:val="333333"/>
        </w:rPr>
        <w:t xml:space="preserve"> L, </w:t>
      </w:r>
      <w:proofErr w:type="spellStart"/>
      <w:r>
        <w:rPr>
          <w:color w:val="333333"/>
        </w:rPr>
        <w:t>Niethard</w:t>
      </w:r>
      <w:proofErr w:type="spellEnd"/>
      <w:r>
        <w:rPr>
          <w:color w:val="333333"/>
        </w:rPr>
        <w:t xml:space="preserve"> FU, </w:t>
      </w:r>
      <w:proofErr w:type="spellStart"/>
      <w:r>
        <w:rPr>
          <w:color w:val="333333"/>
        </w:rPr>
        <w:t>Krauspe</w:t>
      </w:r>
      <w:proofErr w:type="spellEnd"/>
      <w:r>
        <w:rPr>
          <w:color w:val="333333"/>
        </w:rPr>
        <w:t xml:space="preserve"> R, </w:t>
      </w:r>
      <w:proofErr w:type="spellStart"/>
      <w:r>
        <w:rPr>
          <w:color w:val="333333"/>
        </w:rPr>
        <w:t>Ruckinger</w:t>
      </w:r>
      <w:proofErr w:type="spellEnd"/>
      <w:r>
        <w:rPr>
          <w:color w:val="333333"/>
        </w:rPr>
        <w:t xml:space="preserve"> S. General ultrasound screening reduces the rate of first operative procedures for developmental dysplasia of the hip: a case-control study. J </w:t>
      </w:r>
      <w:proofErr w:type="spellStart"/>
      <w:r>
        <w:rPr>
          <w:color w:val="333333"/>
        </w:rPr>
        <w:t>Pediatr</w:t>
      </w:r>
      <w:proofErr w:type="spellEnd"/>
      <w:r>
        <w:rPr>
          <w:color w:val="333333"/>
        </w:rPr>
        <w:t xml:space="preserve">. </w:t>
      </w:r>
      <w:proofErr w:type="gramStart"/>
      <w:r>
        <w:rPr>
          <w:color w:val="333333"/>
        </w:rPr>
        <w:t>2012;160:271</w:t>
      </w:r>
      <w:proofErr w:type="gramEnd"/>
      <w:r>
        <w:rPr>
          <w:color w:val="333333"/>
        </w:rPr>
        <w:t>–5.</w:t>
      </w:r>
    </w:p>
    <w:p w14:paraId="2D07C2CE"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Price K, Dove R, Hunter J. Current screening recommendations for developmental dysplasia of the hip may lead to an increase in open reduction. Bone Joint J. 2013;95-B:846–50.</w:t>
      </w:r>
    </w:p>
    <w:p w14:paraId="1DC92EB5"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Phelan N, et al. Developmental dysplasia of the hip: incidence and treatment outcomes in the southeast of Ireland. </w:t>
      </w:r>
      <w:proofErr w:type="spellStart"/>
      <w:r>
        <w:rPr>
          <w:color w:val="333333"/>
        </w:rPr>
        <w:t>Ir</w:t>
      </w:r>
      <w:proofErr w:type="spellEnd"/>
      <w:r>
        <w:rPr>
          <w:color w:val="333333"/>
        </w:rPr>
        <w:t xml:space="preserve"> J Med Sci. </w:t>
      </w:r>
      <w:proofErr w:type="gramStart"/>
      <w:r>
        <w:rPr>
          <w:color w:val="333333"/>
        </w:rPr>
        <w:t>2015;84:411</w:t>
      </w:r>
      <w:proofErr w:type="gramEnd"/>
      <w:r>
        <w:rPr>
          <w:color w:val="333333"/>
        </w:rPr>
        <w:t>–5.</w:t>
      </w:r>
    </w:p>
    <w:p w14:paraId="4A118F60"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De </w:t>
      </w:r>
      <w:proofErr w:type="spellStart"/>
      <w:r>
        <w:rPr>
          <w:color w:val="333333"/>
        </w:rPr>
        <w:t>Pellegrin</w:t>
      </w:r>
      <w:proofErr w:type="spellEnd"/>
      <w:r>
        <w:rPr>
          <w:color w:val="333333"/>
        </w:rPr>
        <w:t xml:space="preserve"> M, </w:t>
      </w:r>
      <w:proofErr w:type="spellStart"/>
      <w:r>
        <w:rPr>
          <w:color w:val="333333"/>
        </w:rPr>
        <w:t>Moharamzadeh</w:t>
      </w:r>
      <w:proofErr w:type="spellEnd"/>
      <w:r>
        <w:rPr>
          <w:color w:val="333333"/>
        </w:rPr>
        <w:t xml:space="preserve"> D, </w:t>
      </w:r>
      <w:proofErr w:type="spellStart"/>
      <w:r>
        <w:rPr>
          <w:color w:val="333333"/>
        </w:rPr>
        <w:t>Fracassetti</w:t>
      </w:r>
      <w:proofErr w:type="spellEnd"/>
      <w:r>
        <w:rPr>
          <w:color w:val="333333"/>
        </w:rPr>
        <w:t xml:space="preserve"> D. Early diagnosis of congenital hip dysplasia. Therapeutic implications. Ital J </w:t>
      </w:r>
      <w:proofErr w:type="spellStart"/>
      <w:r>
        <w:rPr>
          <w:color w:val="333333"/>
        </w:rPr>
        <w:t>Orthop</w:t>
      </w:r>
      <w:proofErr w:type="spellEnd"/>
      <w:r>
        <w:rPr>
          <w:color w:val="333333"/>
        </w:rPr>
        <w:t xml:space="preserve"> </w:t>
      </w:r>
      <w:proofErr w:type="spellStart"/>
      <w:r>
        <w:rPr>
          <w:color w:val="333333"/>
        </w:rPr>
        <w:t>Traumatol</w:t>
      </w:r>
      <w:proofErr w:type="spellEnd"/>
      <w:r>
        <w:rPr>
          <w:color w:val="333333"/>
        </w:rPr>
        <w:t>. 2008;34(suppl.1</w:t>
      </w:r>
      <w:proofErr w:type="gramStart"/>
      <w:r>
        <w:rPr>
          <w:color w:val="333333"/>
        </w:rPr>
        <w:t>):S</w:t>
      </w:r>
      <w:proofErr w:type="gramEnd"/>
      <w:r>
        <w:rPr>
          <w:color w:val="333333"/>
        </w:rPr>
        <w:t>53–7.</w:t>
      </w:r>
    </w:p>
    <w:p w14:paraId="1EB62381"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proofErr w:type="spellStart"/>
      <w:r>
        <w:rPr>
          <w:color w:val="333333"/>
        </w:rPr>
        <w:t>Kotlarsky</w:t>
      </w:r>
      <w:proofErr w:type="spellEnd"/>
      <w:r>
        <w:rPr>
          <w:color w:val="333333"/>
        </w:rPr>
        <w:t xml:space="preserve"> P, Haber R, Bialik V, Eidelman M. Developmental dysplasia of the hip: what has changed in the last 20 years? World J </w:t>
      </w:r>
      <w:proofErr w:type="spellStart"/>
      <w:r>
        <w:rPr>
          <w:color w:val="333333"/>
        </w:rPr>
        <w:t>Orthop</w:t>
      </w:r>
      <w:proofErr w:type="spellEnd"/>
      <w:r>
        <w:rPr>
          <w:color w:val="333333"/>
        </w:rPr>
        <w:t xml:space="preserve">. </w:t>
      </w:r>
      <w:proofErr w:type="gramStart"/>
      <w:r>
        <w:rPr>
          <w:color w:val="333333"/>
        </w:rPr>
        <w:t>2015;6:886</w:t>
      </w:r>
      <w:proofErr w:type="gramEnd"/>
      <w:r>
        <w:rPr>
          <w:color w:val="333333"/>
        </w:rPr>
        <w:t>–901.</w:t>
      </w:r>
    </w:p>
    <w:p w14:paraId="4C7CC63B"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proofErr w:type="spellStart"/>
      <w:r>
        <w:rPr>
          <w:color w:val="333333"/>
        </w:rPr>
        <w:t>Hensinger</w:t>
      </w:r>
      <w:proofErr w:type="spellEnd"/>
      <w:r>
        <w:rPr>
          <w:color w:val="333333"/>
        </w:rPr>
        <w:t xml:space="preserve"> RN. Congenital dislocation of the hip: treatment in infants to walking age. </w:t>
      </w:r>
      <w:proofErr w:type="spellStart"/>
      <w:r>
        <w:rPr>
          <w:color w:val="333333"/>
        </w:rPr>
        <w:t>Orthop</w:t>
      </w:r>
      <w:proofErr w:type="spellEnd"/>
      <w:r>
        <w:rPr>
          <w:color w:val="333333"/>
        </w:rPr>
        <w:t xml:space="preserve"> Clin North Am. </w:t>
      </w:r>
      <w:proofErr w:type="gramStart"/>
      <w:r>
        <w:rPr>
          <w:color w:val="333333"/>
        </w:rPr>
        <w:t>1987;18:597</w:t>
      </w:r>
      <w:proofErr w:type="gramEnd"/>
      <w:r>
        <w:rPr>
          <w:color w:val="333333"/>
        </w:rPr>
        <w:t>–616.</w:t>
      </w:r>
    </w:p>
    <w:p w14:paraId="69CDB261"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color w:val="333333"/>
        </w:rPr>
      </w:pPr>
      <w:r>
        <w:rPr>
          <w:color w:val="333333"/>
        </w:rPr>
        <w:t xml:space="preserve">Dunn PM, Evans RE, </w:t>
      </w:r>
      <w:proofErr w:type="spellStart"/>
      <w:r>
        <w:rPr>
          <w:color w:val="333333"/>
        </w:rPr>
        <w:t>Thearle</w:t>
      </w:r>
      <w:proofErr w:type="spellEnd"/>
      <w:r>
        <w:rPr>
          <w:color w:val="333333"/>
        </w:rPr>
        <w:t xml:space="preserve"> MJ, Griffiths HED, </w:t>
      </w:r>
      <w:proofErr w:type="spellStart"/>
      <w:r>
        <w:rPr>
          <w:color w:val="333333"/>
        </w:rPr>
        <w:t>Whiterow</w:t>
      </w:r>
      <w:proofErr w:type="spellEnd"/>
      <w:r>
        <w:rPr>
          <w:color w:val="333333"/>
        </w:rPr>
        <w:t xml:space="preserve"> PJ. Congenital dislocation of the hip: early and late diagnosis and management compared. Arch Dis Child. </w:t>
      </w:r>
      <w:proofErr w:type="gramStart"/>
      <w:r>
        <w:rPr>
          <w:color w:val="333333"/>
        </w:rPr>
        <w:t>1985;60:407</w:t>
      </w:r>
      <w:proofErr w:type="gramEnd"/>
      <w:r>
        <w:rPr>
          <w:color w:val="333333"/>
        </w:rPr>
        <w:t>–14.</w:t>
      </w:r>
    </w:p>
    <w:p w14:paraId="13411120"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rFonts w:eastAsia="Cambria"/>
          <w:color w:val="212121"/>
        </w:rPr>
      </w:pPr>
      <w:r>
        <w:rPr>
          <w:color w:val="333333"/>
        </w:rPr>
        <w:t xml:space="preserve">De </w:t>
      </w:r>
      <w:proofErr w:type="spellStart"/>
      <w:r>
        <w:rPr>
          <w:color w:val="333333"/>
        </w:rPr>
        <w:t>Pellegrin</w:t>
      </w:r>
      <w:proofErr w:type="spellEnd"/>
      <w:r>
        <w:rPr>
          <w:color w:val="333333"/>
        </w:rPr>
        <w:t xml:space="preserve"> M, </w:t>
      </w:r>
      <w:proofErr w:type="spellStart"/>
      <w:r>
        <w:rPr>
          <w:color w:val="333333"/>
        </w:rPr>
        <w:t>Bonifacini</w:t>
      </w:r>
      <w:proofErr w:type="spellEnd"/>
      <w:r>
        <w:rPr>
          <w:color w:val="333333"/>
        </w:rPr>
        <w:t xml:space="preserve"> C. Is the acetabular maturation in severe DDH influenced by treatment at an early age? OUP. 2016;7/8:408–12.</w:t>
      </w:r>
    </w:p>
    <w:p w14:paraId="423AC2F4"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rFonts w:eastAsia="Cambria"/>
          <w:color w:val="212121"/>
        </w:rPr>
      </w:pPr>
      <w:r>
        <w:rPr>
          <w:color w:val="333333"/>
        </w:rPr>
        <w:t xml:space="preserve">Bradley CS, Perry DC, Wedge JH, Murnaghan ML, Kelley SP. Avascular necrosis following closed reduction for treatment of developmental dysplasia of the hip: a systematic review. J Child </w:t>
      </w:r>
      <w:proofErr w:type="spellStart"/>
      <w:r>
        <w:rPr>
          <w:color w:val="333333"/>
        </w:rPr>
        <w:t>Orthop</w:t>
      </w:r>
      <w:proofErr w:type="spellEnd"/>
      <w:r>
        <w:rPr>
          <w:color w:val="333333"/>
        </w:rPr>
        <w:t xml:space="preserve">. </w:t>
      </w:r>
      <w:proofErr w:type="gramStart"/>
      <w:r>
        <w:rPr>
          <w:color w:val="333333"/>
        </w:rPr>
        <w:t>2016;10:627</w:t>
      </w:r>
      <w:proofErr w:type="gramEnd"/>
      <w:r>
        <w:rPr>
          <w:color w:val="333333"/>
        </w:rPr>
        <w:t>–32.</w:t>
      </w:r>
    </w:p>
    <w:p w14:paraId="6355EBAC"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rFonts w:eastAsia="Cambria"/>
          <w:color w:val="212121"/>
        </w:rPr>
      </w:pPr>
      <w:r>
        <w:rPr>
          <w:rFonts w:eastAsia="Cambria"/>
          <w:color w:val="212121"/>
          <w:shd w:val="clear" w:color="auto" w:fill="FFFFFF"/>
          <w:lang w:eastAsia="zh-CN" w:bidi="ar"/>
        </w:rPr>
        <w:t xml:space="preserve"> Graf R. The diagnosis of congenital hip joint dislocation by the ultrasonic compound-treatment. </w:t>
      </w:r>
      <w:r>
        <w:rPr>
          <w:rFonts w:eastAsia="Cambria"/>
          <w:i/>
          <w:iCs/>
          <w:color w:val="212121"/>
          <w:shd w:val="clear" w:color="auto" w:fill="FFFFFF"/>
          <w:lang w:eastAsia="zh-CN" w:bidi="ar"/>
        </w:rPr>
        <w:t xml:space="preserve">Arch </w:t>
      </w:r>
      <w:proofErr w:type="spellStart"/>
      <w:r>
        <w:rPr>
          <w:rFonts w:eastAsia="Cambria"/>
          <w:i/>
          <w:iCs/>
          <w:color w:val="212121"/>
          <w:shd w:val="clear" w:color="auto" w:fill="FFFFFF"/>
          <w:lang w:eastAsia="zh-CN" w:bidi="ar"/>
        </w:rPr>
        <w:t>Orthop</w:t>
      </w:r>
      <w:proofErr w:type="spellEnd"/>
      <w:r>
        <w:rPr>
          <w:rFonts w:eastAsia="Cambria"/>
          <w:i/>
          <w:iCs/>
          <w:color w:val="212121"/>
          <w:shd w:val="clear" w:color="auto" w:fill="FFFFFF"/>
          <w:lang w:eastAsia="zh-CN" w:bidi="ar"/>
        </w:rPr>
        <w:t xml:space="preserve"> </w:t>
      </w:r>
      <w:proofErr w:type="spellStart"/>
      <w:r>
        <w:rPr>
          <w:rFonts w:eastAsia="Cambria"/>
          <w:i/>
          <w:iCs/>
          <w:color w:val="212121"/>
          <w:shd w:val="clear" w:color="auto" w:fill="FFFFFF"/>
          <w:lang w:eastAsia="zh-CN" w:bidi="ar"/>
        </w:rPr>
        <w:t>Traumat</w:t>
      </w:r>
      <w:proofErr w:type="spellEnd"/>
      <w:r>
        <w:rPr>
          <w:rFonts w:eastAsia="Cambria"/>
          <w:i/>
          <w:iCs/>
          <w:color w:val="212121"/>
          <w:shd w:val="clear" w:color="auto" w:fill="FFFFFF"/>
          <w:lang w:eastAsia="zh-CN" w:bidi="ar"/>
        </w:rPr>
        <w:t>. </w:t>
      </w:r>
      <w:proofErr w:type="gramStart"/>
      <w:r>
        <w:rPr>
          <w:rFonts w:eastAsia="Cambria"/>
          <w:color w:val="212121"/>
          <w:shd w:val="clear" w:color="auto" w:fill="FFFFFF"/>
          <w:lang w:eastAsia="zh-CN" w:bidi="ar"/>
        </w:rPr>
        <w:t>1980;97:117</w:t>
      </w:r>
      <w:proofErr w:type="gramEnd"/>
      <w:r>
        <w:rPr>
          <w:rFonts w:eastAsia="Cambria"/>
          <w:color w:val="212121"/>
          <w:shd w:val="clear" w:color="auto" w:fill="FFFFFF"/>
          <w:lang w:eastAsia="zh-CN" w:bidi="ar"/>
        </w:rPr>
        <w:t>–133. [</w:t>
      </w:r>
      <w:hyperlink r:id="rId23" w:history="1">
        <w:r>
          <w:rPr>
            <w:rStyle w:val="ae"/>
            <w:rFonts w:eastAsia="Cambria"/>
            <w:color w:val="376FAA"/>
            <w:shd w:val="clear" w:color="auto" w:fill="FFFFFF"/>
          </w:rPr>
          <w:t>PubMed</w:t>
        </w:r>
      </w:hyperlink>
      <w:r>
        <w:rPr>
          <w:rFonts w:eastAsia="Cambria"/>
          <w:color w:val="212121"/>
          <w:shd w:val="clear" w:color="auto" w:fill="FFFFFF"/>
          <w:lang w:eastAsia="zh-CN" w:bidi="ar"/>
        </w:rPr>
        <w:t>] [</w:t>
      </w:r>
      <w:hyperlink r:id="rId24" w:tgtFrame="https://www.ncbi.nlm.nih.gov/pmc/articles/PMC3553277/_blank" w:history="1">
        <w:r>
          <w:rPr>
            <w:rStyle w:val="ae"/>
            <w:rFonts w:eastAsia="Cambria"/>
            <w:color w:val="376FAA"/>
            <w:shd w:val="clear" w:color="auto" w:fill="FFFFFF"/>
          </w:rPr>
          <w:t>Google Scholar</w:t>
        </w:r>
      </w:hyperlink>
      <w:r>
        <w:rPr>
          <w:rFonts w:eastAsia="Cambria"/>
          <w:color w:val="212121"/>
          <w:shd w:val="clear" w:color="auto" w:fill="FFFFFF"/>
          <w:lang w:eastAsia="zh-CN" w:bidi="ar"/>
        </w:rPr>
        <w:t>]</w:t>
      </w:r>
    </w:p>
    <w:p w14:paraId="723F07F0" w14:textId="77777777"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rFonts w:eastAsia="Cambria"/>
          <w:color w:val="212121"/>
        </w:rPr>
      </w:pPr>
      <w:r>
        <w:rPr>
          <w:rFonts w:eastAsia="Cambria"/>
          <w:color w:val="212121"/>
          <w:shd w:val="clear" w:color="auto" w:fill="FFFFFF"/>
          <w:lang w:eastAsia="zh-CN" w:bidi="ar"/>
        </w:rPr>
        <w:t xml:space="preserve">De </w:t>
      </w:r>
      <w:proofErr w:type="spellStart"/>
      <w:r>
        <w:rPr>
          <w:rFonts w:eastAsia="Cambria"/>
          <w:color w:val="212121"/>
          <w:shd w:val="clear" w:color="auto" w:fill="FFFFFF"/>
          <w:lang w:eastAsia="zh-CN" w:bidi="ar"/>
        </w:rPr>
        <w:t>Pellegrin</w:t>
      </w:r>
      <w:proofErr w:type="spellEnd"/>
      <w:r>
        <w:rPr>
          <w:rFonts w:eastAsia="Cambria"/>
          <w:color w:val="212121"/>
          <w:shd w:val="clear" w:color="auto" w:fill="FFFFFF"/>
          <w:lang w:eastAsia="zh-CN" w:bidi="ar"/>
        </w:rPr>
        <w:t xml:space="preserve"> M., </w:t>
      </w:r>
      <w:proofErr w:type="spellStart"/>
      <w:r>
        <w:rPr>
          <w:rFonts w:eastAsia="Cambria"/>
          <w:color w:val="212121"/>
          <w:shd w:val="clear" w:color="auto" w:fill="FFFFFF"/>
          <w:lang w:eastAsia="zh-CN" w:bidi="ar"/>
        </w:rPr>
        <w:t>Tessari</w:t>
      </w:r>
      <w:proofErr w:type="spellEnd"/>
      <w:r>
        <w:rPr>
          <w:rFonts w:eastAsia="Cambria"/>
          <w:color w:val="212121"/>
          <w:shd w:val="clear" w:color="auto" w:fill="FFFFFF"/>
          <w:lang w:eastAsia="zh-CN" w:bidi="ar"/>
        </w:rPr>
        <w:t xml:space="preserve"> L. Early ultrasound diagnosis of developmental dysplasia of the hip. </w:t>
      </w:r>
      <w:r>
        <w:rPr>
          <w:rFonts w:eastAsia="Cambria"/>
          <w:i/>
          <w:iCs/>
          <w:color w:val="212121"/>
          <w:shd w:val="clear" w:color="auto" w:fill="FFFFFF"/>
          <w:lang w:eastAsia="zh-CN" w:bidi="ar"/>
        </w:rPr>
        <w:t>Bull Hosp Joint Dis. </w:t>
      </w:r>
      <w:r>
        <w:rPr>
          <w:rFonts w:eastAsia="Cambria"/>
          <w:color w:val="212121"/>
          <w:shd w:val="clear" w:color="auto" w:fill="FFFFFF"/>
          <w:lang w:eastAsia="zh-CN" w:bidi="ar"/>
        </w:rPr>
        <w:t>1996;54(4):222–225. [</w:t>
      </w:r>
      <w:hyperlink r:id="rId25" w:history="1">
        <w:r>
          <w:rPr>
            <w:rStyle w:val="ae"/>
            <w:rFonts w:eastAsia="Cambria"/>
            <w:color w:val="376FAA"/>
            <w:shd w:val="clear" w:color="auto" w:fill="FFFFFF"/>
          </w:rPr>
          <w:t>PubMed</w:t>
        </w:r>
      </w:hyperlink>
      <w:r>
        <w:rPr>
          <w:rFonts w:eastAsia="Cambria"/>
          <w:color w:val="212121"/>
          <w:shd w:val="clear" w:color="auto" w:fill="FFFFFF"/>
          <w:lang w:eastAsia="zh-CN" w:bidi="ar"/>
        </w:rPr>
        <w:t>] [</w:t>
      </w:r>
      <w:hyperlink r:id="rId26" w:tgtFrame="https://www.ncbi.nlm.nih.gov/pmc/articles/PMC3553277/_blank" w:history="1">
        <w:r>
          <w:rPr>
            <w:rStyle w:val="ae"/>
            <w:rFonts w:eastAsia="Cambria"/>
            <w:color w:val="376FAA"/>
            <w:shd w:val="clear" w:color="auto" w:fill="FFFFFF"/>
          </w:rPr>
          <w:t>Google Scholar</w:t>
        </w:r>
      </w:hyperlink>
      <w:r>
        <w:rPr>
          <w:rFonts w:eastAsia="Cambria"/>
          <w:color w:val="212121"/>
          <w:shd w:val="clear" w:color="auto" w:fill="FFFFFF"/>
          <w:lang w:eastAsia="zh-CN" w:bidi="ar"/>
        </w:rPr>
        <w:t>]</w:t>
      </w:r>
    </w:p>
    <w:p w14:paraId="772075F3" w14:textId="1AAC010E" w:rsidR="00363191" w:rsidRDefault="003A1612" w:rsidP="00F97894">
      <w:pPr>
        <w:pStyle w:val="c-article-referencestext"/>
        <w:numPr>
          <w:ilvl w:val="0"/>
          <w:numId w:val="1"/>
        </w:numPr>
        <w:pBdr>
          <w:bottom w:val="single" w:sz="6" w:space="7" w:color="D5D5D5"/>
        </w:pBdr>
        <w:shd w:val="clear" w:color="auto" w:fill="FFFFFF"/>
        <w:spacing w:before="0" w:beforeAutospacing="0" w:after="0" w:afterAutospacing="0"/>
        <w:jc w:val="both"/>
        <w:rPr>
          <w:rFonts w:eastAsia="Cambria"/>
          <w:color w:val="212121"/>
        </w:rPr>
      </w:pPr>
      <w:r>
        <w:rPr>
          <w:rFonts w:eastAsia="Cambria"/>
          <w:color w:val="212121"/>
          <w:shd w:val="clear" w:color="auto" w:fill="FFFFFF"/>
          <w:lang w:eastAsia="zh-CN" w:bidi="ar"/>
        </w:rPr>
        <w:t xml:space="preserve"> Graf R. George </w:t>
      </w:r>
      <w:proofErr w:type="spellStart"/>
      <w:r>
        <w:rPr>
          <w:rFonts w:eastAsia="Cambria"/>
          <w:color w:val="212121"/>
          <w:shd w:val="clear" w:color="auto" w:fill="FFFFFF"/>
          <w:lang w:eastAsia="zh-CN" w:bidi="ar"/>
        </w:rPr>
        <w:t>Thieme</w:t>
      </w:r>
      <w:proofErr w:type="spellEnd"/>
      <w:r>
        <w:rPr>
          <w:rFonts w:eastAsia="Cambria"/>
          <w:color w:val="212121"/>
          <w:shd w:val="clear" w:color="auto" w:fill="FFFFFF"/>
          <w:lang w:eastAsia="zh-CN" w:bidi="ar"/>
        </w:rPr>
        <w:t xml:space="preserve"> Verlag; Stuttgart-New York: 1987. Guide to sonography of the </w:t>
      </w:r>
      <w:r w:rsidR="00F97894">
        <w:rPr>
          <w:rFonts w:eastAsia="Cambria"/>
          <w:color w:val="212121"/>
          <w:shd w:val="clear" w:color="auto" w:fill="FFFFFF"/>
          <w:lang w:eastAsia="zh-CN" w:bidi="ar"/>
        </w:rPr>
        <w:t>i</w:t>
      </w:r>
      <w:r>
        <w:rPr>
          <w:rFonts w:eastAsia="Cambria"/>
          <w:color w:val="212121"/>
          <w:shd w:val="clear" w:color="auto" w:fill="FFFFFF"/>
          <w:lang w:eastAsia="zh-CN" w:bidi="ar"/>
        </w:rPr>
        <w:t>nfant hip. [</w:t>
      </w:r>
      <w:hyperlink r:id="rId27" w:tgtFrame="https://www.ncbi.nlm.nih.gov/pmc/articles/PMC3553277/_blank" w:history="1">
        <w:r>
          <w:rPr>
            <w:rStyle w:val="ae"/>
            <w:rFonts w:eastAsia="Cambria"/>
            <w:color w:val="376FAA"/>
            <w:shd w:val="clear" w:color="auto" w:fill="FFFFFF"/>
          </w:rPr>
          <w:t>Google Scholar</w:t>
        </w:r>
      </w:hyperlink>
      <w:r>
        <w:rPr>
          <w:rFonts w:eastAsia="Cambria"/>
          <w:color w:val="212121"/>
          <w:shd w:val="clear" w:color="auto" w:fill="FFFFFF"/>
          <w:lang w:eastAsia="zh-CN" w:bidi="ar"/>
        </w:rPr>
        <w:t>]</w:t>
      </w:r>
    </w:p>
    <w:p w14:paraId="3359DD8B" w14:textId="77777777" w:rsidR="00363191" w:rsidRDefault="003A1612" w:rsidP="00F97894">
      <w:pPr>
        <w:pStyle w:val="c-article-referencestext"/>
        <w:numPr>
          <w:ilvl w:val="0"/>
          <w:numId w:val="1"/>
        </w:numPr>
        <w:pBdr>
          <w:bottom w:val="single" w:sz="6" w:space="11" w:color="D5D5D5"/>
        </w:pBdr>
        <w:shd w:val="clear" w:color="auto" w:fill="FFFFFF"/>
        <w:spacing w:before="0" w:beforeAutospacing="0" w:after="0" w:afterAutospacing="0"/>
        <w:jc w:val="both"/>
      </w:pPr>
      <w:proofErr w:type="spellStart"/>
      <w:r>
        <w:rPr>
          <w:rFonts w:eastAsia="Cambria"/>
          <w:color w:val="212121"/>
          <w:shd w:val="clear" w:color="auto" w:fill="FFFFFF"/>
          <w:lang w:eastAsia="zh-CN" w:bidi="ar"/>
        </w:rPr>
        <w:t>Alexiev</w:t>
      </w:r>
      <w:proofErr w:type="spellEnd"/>
      <w:r>
        <w:rPr>
          <w:rFonts w:eastAsia="Cambria"/>
          <w:color w:val="212121"/>
          <w:shd w:val="clear" w:color="auto" w:fill="FFFFFF"/>
          <w:lang w:eastAsia="zh-CN" w:bidi="ar"/>
        </w:rPr>
        <w:t xml:space="preserve">, V.A., </w:t>
      </w:r>
      <w:proofErr w:type="spellStart"/>
      <w:r>
        <w:rPr>
          <w:rFonts w:eastAsia="Cambria"/>
          <w:color w:val="212121"/>
          <w:shd w:val="clear" w:color="auto" w:fill="FFFFFF"/>
          <w:lang w:eastAsia="zh-CN" w:bidi="ar"/>
        </w:rPr>
        <w:t>Harcke</w:t>
      </w:r>
      <w:proofErr w:type="spellEnd"/>
      <w:r>
        <w:rPr>
          <w:rFonts w:eastAsia="Cambria"/>
          <w:color w:val="212121"/>
          <w:shd w:val="clear" w:color="auto" w:fill="FFFFFF"/>
          <w:lang w:eastAsia="zh-CN" w:bidi="ar"/>
        </w:rPr>
        <w:t xml:space="preserve">, H.T. and Kumar, S.J. (2006) Residual Dysplasia after Successful Pavlik Harness Treatment: Early Ultrasound Predictors. Journal of Pediatric </w:t>
      </w:r>
      <w:proofErr w:type="spellStart"/>
      <w:r>
        <w:rPr>
          <w:rFonts w:eastAsia="Cambria"/>
          <w:color w:val="212121"/>
          <w:shd w:val="clear" w:color="auto" w:fill="FFFFFF"/>
          <w:lang w:eastAsia="zh-CN" w:bidi="ar"/>
        </w:rPr>
        <w:t>Orthopaedics</w:t>
      </w:r>
      <w:proofErr w:type="spellEnd"/>
      <w:r>
        <w:rPr>
          <w:rFonts w:eastAsia="Cambria"/>
          <w:color w:val="212121"/>
          <w:shd w:val="clear" w:color="auto" w:fill="FFFFFF"/>
          <w:lang w:eastAsia="zh-CN" w:bidi="ar"/>
        </w:rPr>
        <w:t>, 26, 16-23.</w:t>
      </w:r>
    </w:p>
    <w:p w14:paraId="4E3E0EDD" w14:textId="05473426" w:rsidR="00F97894" w:rsidRPr="00F97894" w:rsidRDefault="00C73360" w:rsidP="00F97894">
      <w:pPr>
        <w:pStyle w:val="c-article-referencestext"/>
        <w:numPr>
          <w:ilvl w:val="0"/>
          <w:numId w:val="1"/>
        </w:numPr>
        <w:pBdr>
          <w:bottom w:val="single" w:sz="6" w:space="11" w:color="D5D5D5"/>
        </w:pBdr>
        <w:shd w:val="clear" w:color="auto" w:fill="FFFFFF"/>
        <w:spacing w:before="0" w:beforeAutospacing="0" w:after="0" w:afterAutospacing="0"/>
        <w:jc w:val="both"/>
        <w:rPr>
          <w:rFonts w:eastAsia="Cambria"/>
          <w:color w:val="212121"/>
        </w:rPr>
      </w:pPr>
      <w:hyperlink r:id="rId28" w:anchor="grafs-classification-type-iii" w:tooltip="https://radiologyassistant.nl/pediatrics/hip/developmental-dysplasia-of-the-hip-ultrasound#grafs-classification-type-iii" w:history="1">
        <w:r w:rsidR="003A1612">
          <w:rPr>
            <w:rStyle w:val="ae"/>
            <w:rFonts w:eastAsia="Cambria"/>
            <w:shd w:val="clear" w:color="auto" w:fill="FFFFFF"/>
            <w:lang w:eastAsia="zh-CN" w:bidi="ar"/>
          </w:rPr>
          <w:t>https://radiologyassistant.nl/pediatrics/hip/developmental-dysplasia-of-the-hip-ultrasound#grafs-classification-type-iii</w:t>
        </w:r>
      </w:hyperlink>
      <w:r w:rsidR="003A1612">
        <w:rPr>
          <w:rFonts w:eastAsia="Cambria"/>
          <w:color w:val="212121"/>
          <w:shd w:val="clear" w:color="auto" w:fill="FFFFFF"/>
          <w:lang w:eastAsia="zh-CN" w:bidi="ar"/>
        </w:rPr>
        <w:t xml:space="preserve"> </w:t>
      </w:r>
    </w:p>
    <w:sectPr w:rsidR="00F97894" w:rsidRPr="00F97894">
      <w:pgSz w:w="12240" w:h="15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D5C24" w14:textId="77777777" w:rsidR="00C73360" w:rsidRDefault="00C73360">
      <w:pPr>
        <w:spacing w:line="240" w:lineRule="auto"/>
      </w:pPr>
      <w:r>
        <w:separator/>
      </w:r>
    </w:p>
  </w:endnote>
  <w:endnote w:type="continuationSeparator" w:id="0">
    <w:p w14:paraId="67920B3E" w14:textId="77777777" w:rsidR="00C73360" w:rsidRDefault="00C733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EE97B" w14:textId="77777777" w:rsidR="00C73360" w:rsidRDefault="00C73360">
      <w:pPr>
        <w:spacing w:after="0"/>
      </w:pPr>
      <w:r>
        <w:separator/>
      </w:r>
    </w:p>
  </w:footnote>
  <w:footnote w:type="continuationSeparator" w:id="0">
    <w:p w14:paraId="1E36B5BA" w14:textId="77777777" w:rsidR="00C73360" w:rsidRDefault="00C7336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08E"/>
    <w:multiLevelType w:val="multilevel"/>
    <w:tmpl w:val="0053208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191"/>
    <w:rsid w:val="0017082C"/>
    <w:rsid w:val="00363191"/>
    <w:rsid w:val="003A1612"/>
    <w:rsid w:val="004F7846"/>
    <w:rsid w:val="00594B01"/>
    <w:rsid w:val="00831EB8"/>
    <w:rsid w:val="009B2225"/>
    <w:rsid w:val="00A958BA"/>
    <w:rsid w:val="00AA3690"/>
    <w:rsid w:val="00B867D8"/>
    <w:rsid w:val="00C73360"/>
    <w:rsid w:val="00ED07CE"/>
    <w:rsid w:val="00F97894"/>
    <w:rsid w:val="09B102D3"/>
    <w:rsid w:val="560E2E43"/>
    <w:rsid w:val="679F3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AC2DA"/>
  <w15:docId w15:val="{BA4DDA2F-4213-418A-8803-981CB508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val="en-US" w:eastAsia="en-US"/>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rPr>
  </w:style>
  <w:style w:type="paragraph" w:styleId="2">
    <w:name w:val="heading 2"/>
    <w:next w:val="a"/>
    <w:uiPriority w:val="9"/>
    <w:semiHidden/>
    <w:unhideWhenUsed/>
    <w:qFormat/>
    <w:pPr>
      <w:spacing w:beforeAutospacing="1" w:afterAutospacing="1"/>
      <w:outlineLvl w:val="1"/>
    </w:pPr>
    <w:rPr>
      <w:rFonts w:ascii="SimSun" w:hAnsi="SimSun" w:hint="eastAsia"/>
      <w:b/>
      <w:bCs/>
      <w:sz w:val="36"/>
      <w:szCs w:val="36"/>
      <w:lang w:val="en-US" w:eastAsia="zh-CN"/>
    </w:rPr>
  </w:style>
  <w:style w:type="paragraph" w:styleId="3">
    <w:name w:val="heading 3"/>
    <w:next w:val="a"/>
    <w:uiPriority w:val="9"/>
    <w:semiHidden/>
    <w:unhideWhenUsed/>
    <w:qFormat/>
    <w:pPr>
      <w:spacing w:beforeAutospacing="1" w:afterAutospacing="1"/>
      <w:outlineLvl w:val="2"/>
    </w:pPr>
    <w:rPr>
      <w:rFonts w:ascii="SimSun" w:hAnsi="SimSun" w:hint="eastAsia"/>
      <w:b/>
      <w:bCs/>
      <w:sz w:val="26"/>
      <w:szCs w:val="26"/>
      <w:lang w:val="en-US" w:eastAsia="zh-CN"/>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Pr>
      <w:b/>
      <w:bCs/>
      <w:color w:val="4F81BD" w:themeColor="accent1"/>
      <w:sz w:val="18"/>
      <w:szCs w:val="18"/>
    </w:rPr>
  </w:style>
  <w:style w:type="character" w:styleId="a4">
    <w:name w:val="endnote reference"/>
    <w:basedOn w:val="a0"/>
    <w:uiPriority w:val="99"/>
    <w:semiHidden/>
    <w:unhideWhenUsed/>
    <w:rPr>
      <w:vertAlign w:val="superscript"/>
    </w:rPr>
  </w:style>
  <w:style w:type="paragraph" w:styleId="a5">
    <w:name w:val="endnote text"/>
    <w:basedOn w:val="a"/>
    <w:link w:val="a6"/>
    <w:uiPriority w:val="99"/>
    <w:semiHidden/>
    <w:unhideWhenUsed/>
    <w:pPr>
      <w:spacing w:after="0" w:line="240" w:lineRule="auto"/>
    </w:pPr>
    <w:rPr>
      <w:sz w:val="20"/>
    </w:rPr>
  </w:style>
  <w:style w:type="paragraph" w:styleId="a7">
    <w:name w:val="footer"/>
    <w:basedOn w:val="a"/>
    <w:link w:val="a8"/>
    <w:uiPriority w:val="99"/>
    <w:unhideWhenUsed/>
    <w:pPr>
      <w:tabs>
        <w:tab w:val="center" w:pos="4680"/>
        <w:tab w:val="right" w:pos="9360"/>
      </w:tabs>
      <w:spacing w:after="0" w:line="240" w:lineRule="auto"/>
    </w:pPr>
  </w:style>
  <w:style w:type="character" w:styleId="a9">
    <w:name w:val="footnote reference"/>
    <w:basedOn w:val="a0"/>
    <w:uiPriority w:val="99"/>
    <w:unhideWhenUsed/>
    <w:rPr>
      <w:vertAlign w:val="superscript"/>
    </w:rPr>
  </w:style>
  <w:style w:type="paragraph" w:styleId="aa">
    <w:name w:val="footnote text"/>
    <w:basedOn w:val="a"/>
    <w:link w:val="ab"/>
    <w:uiPriority w:val="99"/>
    <w:semiHidden/>
    <w:unhideWhenUsed/>
    <w:pPr>
      <w:spacing w:after="40" w:line="240" w:lineRule="auto"/>
    </w:pPr>
    <w:rPr>
      <w:sz w:val="18"/>
    </w:rPr>
  </w:style>
  <w:style w:type="paragraph" w:styleId="ac">
    <w:name w:val="header"/>
    <w:basedOn w:val="a"/>
    <w:link w:val="ad"/>
    <w:uiPriority w:val="99"/>
    <w:unhideWhenUsed/>
    <w:qFormat/>
    <w:pPr>
      <w:tabs>
        <w:tab w:val="center" w:pos="4680"/>
        <w:tab w:val="right" w:pos="9360"/>
      </w:tabs>
      <w:spacing w:after="0" w:line="240" w:lineRule="auto"/>
    </w:pPr>
  </w:style>
  <w:style w:type="paragraph" w:styleId="HTML">
    <w:name w:val="HTML Preformatted"/>
    <w:basedOn w:val="a"/>
    <w:link w:val="HTML0"/>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ae">
    <w:name w:val="Hyperlink"/>
    <w:basedOn w:val="a0"/>
    <w:uiPriority w:val="99"/>
    <w:semiHidden/>
    <w:unhideWhenUsed/>
    <w:rPr>
      <w:color w:val="0000FF"/>
      <w:u w:val="single"/>
    </w:rPr>
  </w:style>
  <w:style w:type="paragraph" w:styleId="af">
    <w:name w:val="Normal (Web)"/>
    <w:uiPriority w:val="99"/>
    <w:semiHidden/>
    <w:unhideWhenUsed/>
    <w:qFormat/>
    <w:pPr>
      <w:spacing w:beforeAutospacing="1" w:afterAutospacing="1"/>
    </w:pPr>
    <w:rPr>
      <w:sz w:val="24"/>
      <w:szCs w:val="24"/>
      <w:lang w:val="en-US" w:eastAsia="zh-CN"/>
    </w:rPr>
  </w:style>
  <w:style w:type="paragraph" w:styleId="af0">
    <w:name w:val="Subtitle"/>
    <w:basedOn w:val="a"/>
    <w:next w:val="a"/>
    <w:link w:val="af1"/>
    <w:uiPriority w:val="11"/>
    <w:qFormat/>
    <w:pPr>
      <w:spacing w:before="200"/>
    </w:pPr>
    <w:rPr>
      <w:sz w:val="24"/>
      <w:szCs w:val="24"/>
    </w:rPr>
  </w:style>
  <w:style w:type="table" w:styleId="a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table of figures"/>
    <w:basedOn w:val="a"/>
    <w:next w:val="a"/>
    <w:uiPriority w:val="99"/>
    <w:unhideWhenUsed/>
    <w:pPr>
      <w:spacing w:after="0"/>
    </w:pPr>
  </w:style>
  <w:style w:type="paragraph" w:styleId="af4">
    <w:name w:val="Title"/>
    <w:basedOn w:val="a"/>
    <w:next w:val="a"/>
    <w:link w:val="af5"/>
    <w:uiPriority w:val="10"/>
    <w:qFormat/>
    <w:pPr>
      <w:spacing w:before="300"/>
      <w:contextualSpacing/>
    </w:pPr>
    <w:rPr>
      <w:sz w:val="48"/>
      <w:szCs w:val="48"/>
    </w:rPr>
  </w:style>
  <w:style w:type="paragraph" w:styleId="11">
    <w:name w:val="toc 1"/>
    <w:basedOn w:val="a"/>
    <w:next w:val="a"/>
    <w:uiPriority w:val="39"/>
    <w:unhideWhenUsed/>
    <w:pPr>
      <w:spacing w:after="57"/>
    </w:pPr>
  </w:style>
  <w:style w:type="paragraph" w:styleId="20">
    <w:name w:val="toc 2"/>
    <w:basedOn w:val="a"/>
    <w:next w:val="a"/>
    <w:uiPriority w:val="39"/>
    <w:unhideWhenUsed/>
    <w:pPr>
      <w:spacing w:after="57"/>
      <w:ind w:left="283"/>
    </w:pPr>
  </w:style>
  <w:style w:type="paragraph" w:styleId="30">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f6">
    <w:name w:val="List Paragraph"/>
    <w:basedOn w:val="a"/>
    <w:uiPriority w:val="34"/>
    <w:qFormat/>
    <w:pPr>
      <w:ind w:left="720"/>
      <w:contextualSpacing/>
    </w:pPr>
  </w:style>
  <w:style w:type="paragraph" w:styleId="af7">
    <w:name w:val="No Spacing"/>
    <w:uiPriority w:val="1"/>
    <w:qFormat/>
  </w:style>
  <w:style w:type="character" w:customStyle="1" w:styleId="af5">
    <w:name w:val="Заголовок Знак"/>
    <w:basedOn w:val="a0"/>
    <w:link w:val="af4"/>
    <w:uiPriority w:val="10"/>
    <w:rPr>
      <w:sz w:val="48"/>
      <w:szCs w:val="48"/>
    </w:rPr>
  </w:style>
  <w:style w:type="character" w:customStyle="1" w:styleId="af1">
    <w:name w:val="Подзаголовок Знак"/>
    <w:basedOn w:val="a0"/>
    <w:link w:val="af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f8">
    <w:name w:val="Intense Quote"/>
    <w:basedOn w:val="a"/>
    <w:next w:val="a"/>
    <w:link w:val="af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9">
    <w:name w:val="Выделенная цитата Знак"/>
    <w:link w:val="af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a1"/>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a1"/>
    <w:uiPriority w:val="99"/>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basedOn w:val="a1"/>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a1"/>
    <w:uiPriority w:val="99"/>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a1"/>
    <w:uiPriority w:val="99"/>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a1"/>
    <w:uiPriority w:val="99"/>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a1"/>
    <w:uiPriority w:val="99"/>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basedOn w:val="a1"/>
    <w:uiPriority w:val="99"/>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a1"/>
    <w:uiPriority w:val="99"/>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a1"/>
    <w:uiPriority w:val="99"/>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a1"/>
    <w:uiPriority w:val="99"/>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a1"/>
    <w:uiPriority w:val="99"/>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a1"/>
    <w:uiPriority w:val="99"/>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a1"/>
    <w:uiPriority w:val="99"/>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a1"/>
    <w:uiPriority w:val="99"/>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a1"/>
    <w:uiPriority w:val="99"/>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a1"/>
    <w:uiPriority w:val="99"/>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a1"/>
    <w:uiPriority w:val="99"/>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a1"/>
    <w:uiPriority w:val="99"/>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a1"/>
    <w:uiPriority w:val="99"/>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ab">
    <w:name w:val="Текст сноски Знак"/>
    <w:link w:val="aa"/>
    <w:uiPriority w:val="99"/>
    <w:rPr>
      <w:sz w:val="18"/>
    </w:rPr>
  </w:style>
  <w:style w:type="character" w:customStyle="1" w:styleId="a6">
    <w:name w:val="Текст концевой сноски Знак"/>
    <w:link w:val="a5"/>
    <w:uiPriority w:val="99"/>
    <w:rPr>
      <w:sz w:val="20"/>
    </w:rPr>
  </w:style>
  <w:style w:type="paragraph" w:customStyle="1" w:styleId="12">
    <w:name w:val="Заголовок оглавления1"/>
    <w:uiPriority w:val="39"/>
    <w:unhideWhenUsed/>
  </w:style>
  <w:style w:type="character" w:customStyle="1" w:styleId="10">
    <w:name w:val="Заголовок 1 Знак"/>
    <w:basedOn w:val="a0"/>
    <w:link w:val="1"/>
    <w:uiPriority w:val="9"/>
    <w:qFormat/>
    <w:rPr>
      <w:rFonts w:ascii="Times New Roman" w:eastAsia="Times New Roman" w:hAnsi="Times New Roman" w:cs="Times New Roman"/>
      <w:b/>
      <w:bCs/>
      <w:sz w:val="48"/>
      <w:szCs w:val="48"/>
    </w:rPr>
  </w:style>
  <w:style w:type="character" w:customStyle="1" w:styleId="HTML0">
    <w:name w:val="Стандартный HTML Знак"/>
    <w:basedOn w:val="a0"/>
    <w:link w:val="HTML"/>
    <w:uiPriority w:val="99"/>
    <w:semiHidden/>
    <w:qFormat/>
    <w:rPr>
      <w:rFonts w:ascii="Courier New" w:eastAsia="Times New Roman" w:hAnsi="Courier New" w:cs="Courier New"/>
      <w:sz w:val="20"/>
      <w:szCs w:val="20"/>
    </w:rPr>
  </w:style>
  <w:style w:type="character" w:customStyle="1" w:styleId="y2iqfc">
    <w:name w:val="y2iqfc"/>
    <w:basedOn w:val="a0"/>
    <w:qFormat/>
  </w:style>
  <w:style w:type="character" w:customStyle="1" w:styleId="ad">
    <w:name w:val="Верхний колонтитул Знак"/>
    <w:basedOn w:val="a0"/>
    <w:link w:val="ac"/>
    <w:uiPriority w:val="99"/>
  </w:style>
  <w:style w:type="character" w:customStyle="1" w:styleId="a8">
    <w:name w:val="Нижний колонтитул Знак"/>
    <w:basedOn w:val="a0"/>
    <w:link w:val="a7"/>
    <w:uiPriority w:val="99"/>
    <w:qFormat/>
  </w:style>
  <w:style w:type="paragraph" w:customStyle="1" w:styleId="c-article-referencestext">
    <w:name w:val="c-article-references__text"/>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cid-id-https">
    <w:name w:val="orcid-id-https"/>
    <w:basedOn w:val="a0"/>
    <w:rsid w:val="0083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adiopaedia.org/articles/beta-angle-developmental-dysplasia-of-the-hip-2?lang=us" TargetMode="External"/><Relationship Id="rId18" Type="http://schemas.openxmlformats.org/officeDocument/2006/relationships/image" Target="media/image6.png"/><Relationship Id="rId26" Type="http://schemas.openxmlformats.org/officeDocument/2006/relationships/hyperlink" Target="https://scholar.google.com/scholar_lookup?journal=Bull+Hosp+Joint+Dis&amp;title=Early+ultrasound+diagnosis+of+developmental+dysplasia+of+the+hip&amp;author=M.+De+Pellegrin&amp;author=L.+Tessari&amp;volume=54&amp;issue=4&amp;publication_year=1996&amp;pages=222-225&amp;" TargetMode="External"/><Relationship Id="rId3" Type="http://schemas.openxmlformats.org/officeDocument/2006/relationships/settings" Target="settings.xml"/><Relationship Id="rId21" Type="http://schemas.openxmlformats.org/officeDocument/2006/relationships/hyperlink" Target="https://radiologyassistant.nl/pediatrics/hip/developmental-dysplasia-of-the-hip-ultrasound" TargetMode="External"/><Relationship Id="rId7" Type="http://schemas.openxmlformats.org/officeDocument/2006/relationships/image" Target="media/image1.png"/><Relationship Id="rId12" Type="http://schemas.openxmlformats.org/officeDocument/2006/relationships/hyperlink" Target="https://radiopaedia.org/articles/alpha-angle-developmental-dysplasia-of-the-hip-2?lang=us" TargetMode="External"/><Relationship Id="rId17" Type="http://schemas.openxmlformats.org/officeDocument/2006/relationships/image" Target="media/image5.png"/><Relationship Id="rId25" Type="http://schemas.openxmlformats.org/officeDocument/2006/relationships/hyperlink" Target="https://pubmed.ncbi.nlm.nih.gov/8731414"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diopaedia.org/articles/beta-angle-developmental-dysplasia-of-the-hip-2?lang=us" TargetMode="External"/><Relationship Id="rId24" Type="http://schemas.openxmlformats.org/officeDocument/2006/relationships/hyperlink" Target="https://scholar.google.com/scholar_lookup?journal=Arch+Orthop+Traumat&amp;title=The+diagnosis+of+congenital+hip+joint+dislocation+by+the+ultrasonic+compound-treatment&amp;author=R.+Graf&amp;volume=97&amp;publication_year=1980&amp;pages=117-133&amp;" TargetMode="External"/><Relationship Id="rId5" Type="http://schemas.openxmlformats.org/officeDocument/2006/relationships/footnotes" Target="footnotes.xml"/><Relationship Id="rId15" Type="http://schemas.openxmlformats.org/officeDocument/2006/relationships/hyperlink" Target="https://www.ncbi.nlm.nih.gov/pmc/articles/PMC3553277/table/tbl1/" TargetMode="External"/><Relationship Id="rId23" Type="http://schemas.openxmlformats.org/officeDocument/2006/relationships/hyperlink" Target="https://pubmed.ncbi.nlm.nih.gov/7458597" TargetMode="External"/><Relationship Id="rId28" Type="http://schemas.openxmlformats.org/officeDocument/2006/relationships/hyperlink" Target="https://radiologyassistant.nl/pediatrics/hip/developmental-dysplasia-of-the-hip-ultrasound" TargetMode="External"/><Relationship Id="rId10" Type="http://schemas.openxmlformats.org/officeDocument/2006/relationships/hyperlink" Target="https://radiopaedia.org/articles/alpha-angle-developmental-dysplasia-of-the-hip-2?lang=us" TargetMode="External"/><Relationship Id="rId19" Type="http://schemas.openxmlformats.org/officeDocument/2006/relationships/hyperlink" Target="Alexiev,%20V.A.,%20Harcke,%20H.T.%20and%20Kumar,%20S.J.%20(2006)%20Residual%20Dysplasia%20after%20Successful%20Pavlik%20Harness%20Treatment:%20Early%20Ultrasound%20Predictors.%20Journal%20of%20Pediatric%20Orthopaedics,%2026,%2016-23.%20https://doi.org/10.1097/01.bpo.0000187995.02140.c7"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ncbi.nlm.nih.gov/pmc/articles/PMC3553277/" TargetMode="External"/><Relationship Id="rId22" Type="http://schemas.openxmlformats.org/officeDocument/2006/relationships/hyperlink" Target="http://ripo.cineca.it/" TargetMode="External"/><Relationship Id="rId27" Type="http://schemas.openxmlformats.org/officeDocument/2006/relationships/hyperlink" Target="https://scholar.google.com/scholar?q=Graf+R.+Guide+to+sonography+of+the+infant+hip+1987+George+Thieme+Verlag+Stuttgart-New+Yor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2125</Words>
  <Characters>12118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Lavrentie</dc:creator>
  <cp:lastModifiedBy>Admin</cp:lastModifiedBy>
  <cp:revision>9</cp:revision>
  <dcterms:created xsi:type="dcterms:W3CDTF">2023-03-06T09:34:00Z</dcterms:created>
  <dcterms:modified xsi:type="dcterms:W3CDTF">2024-09-25T09:29:00Z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857960B75D9044EAA5A17296D77B107C_13</vt:lpwstr>
  </property>
</Properties>
</file>